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31D87" w14:textId="77777777" w:rsidR="006C139C" w:rsidRPr="00DB4F31" w:rsidRDefault="00000000" w:rsidP="006C139C">
      <w:pPr>
        <w:spacing w:before="240" w:line="276" w:lineRule="auto"/>
        <w:outlineLvl w:val="0"/>
        <w:rPr>
          <w:rFonts w:ascii="Montserrat" w:eastAsia="Calibri" w:hAnsi="Montserrat"/>
          <w:b/>
          <w:sz w:val="28"/>
          <w:lang w:eastAsia="ko-KR"/>
        </w:rPr>
      </w:pPr>
      <w:r w:rsidRPr="00DB4F31">
        <w:rPr>
          <w:rFonts w:ascii="Malgun Gothic" w:eastAsia="Malgun Gothic" w:hAnsi="Malgun Gothic" w:cs="Malgun Gothic"/>
          <w:b/>
          <w:color w:val="136613"/>
          <w:sz w:val="28"/>
          <w:lang w:val="ko" w:eastAsia="ko-KR"/>
        </w:rPr>
        <w:t xml:space="preserve">전국 장애 데이터 자산 </w:t>
      </w:r>
    </w:p>
    <w:p w14:paraId="28907E57" w14:textId="77777777" w:rsidR="006C139C" w:rsidRPr="00DB4F31" w:rsidRDefault="00000000" w:rsidP="006C139C">
      <w:pPr>
        <w:spacing w:before="240" w:after="240" w:line="276" w:lineRule="auto"/>
        <w:outlineLvl w:val="0"/>
        <w:rPr>
          <w:rFonts w:ascii="Montserrat" w:eastAsia="Calibri" w:hAnsi="Montserrat" w:cs="Calibri"/>
          <w:b/>
          <w:color w:val="136613"/>
          <w:sz w:val="28"/>
          <w:lang w:eastAsia="ko-KR"/>
        </w:rPr>
      </w:pPr>
      <w:r w:rsidRPr="00DB4F31">
        <w:rPr>
          <w:rFonts w:ascii="Malgun Gothic" w:eastAsia="Malgun Gothic" w:hAnsi="Malgun Gothic" w:cs="Malgun Gothic"/>
          <w:b/>
          <w:color w:val="136613"/>
          <w:sz w:val="28"/>
          <w:lang w:val="ko" w:eastAsia="ko-KR"/>
        </w:rPr>
        <w:t xml:space="preserve">데이터 세트 추가 원칙 </w:t>
      </w:r>
    </w:p>
    <w:p w14:paraId="4A4B8F38" w14:textId="77777777" w:rsidR="006C139C" w:rsidRPr="00DB4F31" w:rsidRDefault="00000000" w:rsidP="006C139C">
      <w:pPr>
        <w:spacing w:before="120" w:after="120" w:line="276" w:lineRule="auto"/>
        <w:rPr>
          <w:rFonts w:ascii="Montserrat" w:eastAsia="Calibri" w:hAnsi="Montserrat"/>
          <w:szCs w:val="22"/>
          <w:lang w:eastAsia="ko-KR"/>
        </w:rPr>
      </w:pPr>
      <w:r w:rsidRPr="00DB4F31">
        <w:rPr>
          <w:rFonts w:ascii="Malgun Gothic" w:eastAsia="Malgun Gothic" w:hAnsi="Malgun Gothic" w:cs="Malgun Gothic"/>
          <w:szCs w:val="22"/>
          <w:lang w:val="ko" w:eastAsia="ko-KR"/>
        </w:rPr>
        <w:t xml:space="preserve">전국 장애 데이터 자산에 데이터 세트를 포함할지 여부를 결정하는 데 도움이 되는 4가지 원칙이 있습니다. </w:t>
      </w:r>
      <w:bookmarkStart w:id="0" w:name="_Hlk196385144"/>
      <w:r w:rsidRPr="00DB4F31">
        <w:rPr>
          <w:rFonts w:ascii="Malgun Gothic" w:eastAsia="Malgun Gothic" w:hAnsi="Malgun Gothic" w:cs="Malgun Gothic"/>
          <w:szCs w:val="22"/>
          <w:lang w:val="ko" w:eastAsia="ko-KR"/>
        </w:rPr>
        <w:t>전국 장애 데이터 자산</w:t>
      </w:r>
      <w:bookmarkEnd w:id="0"/>
      <w:r w:rsidRPr="00DB4F31">
        <w:rPr>
          <w:rFonts w:ascii="Malgun Gothic" w:eastAsia="Malgun Gothic" w:hAnsi="Malgun Gothic" w:cs="Malgun Gothic"/>
          <w:szCs w:val="22"/>
          <w:lang w:val="ko" w:eastAsia="ko-KR"/>
        </w:rPr>
        <w:t xml:space="preserve"> 위원회(이하 '위원회')는 2026년부터 적용하기 위해 이러한 원칙을 개발했습니다.</w:t>
      </w:r>
    </w:p>
    <w:p w14:paraId="4FC23959" w14:textId="77777777" w:rsidR="006C139C" w:rsidRPr="00DB4F31" w:rsidRDefault="00000000" w:rsidP="006C139C">
      <w:pPr>
        <w:spacing w:before="240" w:after="240" w:line="276" w:lineRule="auto"/>
        <w:outlineLvl w:val="1"/>
        <w:rPr>
          <w:rFonts w:ascii="Montserrat" w:eastAsia="Calibri" w:hAnsi="Montserrat" w:cs="Calibri"/>
          <w:b/>
          <w:color w:val="0D4AC4"/>
          <w:szCs w:val="22"/>
          <w:lang w:eastAsia="ko-KR"/>
        </w:rPr>
      </w:pPr>
      <w:r w:rsidRPr="00DB4F31">
        <w:rPr>
          <w:rFonts w:ascii="Malgun Gothic" w:eastAsia="Malgun Gothic" w:hAnsi="Malgun Gothic" w:cs="Malgun Gothic"/>
          <w:b/>
          <w:color w:val="0D4AC4"/>
          <w:szCs w:val="22"/>
          <w:lang w:val="ko" w:eastAsia="ko-KR"/>
        </w:rPr>
        <w:t xml:space="preserve">4가지 원칙은 다음과 같습니다: </w:t>
      </w:r>
    </w:p>
    <w:p w14:paraId="691EFBA6" w14:textId="77777777" w:rsidR="006C139C" w:rsidRPr="00DB4F31" w:rsidRDefault="00000000" w:rsidP="006C139C">
      <w:pPr>
        <w:numPr>
          <w:ilvl w:val="0"/>
          <w:numId w:val="2"/>
        </w:numPr>
        <w:spacing w:before="120" w:after="120" w:line="276" w:lineRule="auto"/>
        <w:contextualSpacing/>
        <w:rPr>
          <w:rFonts w:ascii="Montserrat" w:eastAsia="Calibri" w:hAnsi="Montserrat"/>
          <w:szCs w:val="22"/>
          <w:lang w:eastAsia="ko-KR"/>
        </w:rPr>
      </w:pPr>
      <w:r w:rsidRPr="00DB4F31">
        <w:rPr>
          <w:rFonts w:ascii="Malgun Gothic" w:eastAsia="Malgun Gothic" w:hAnsi="Malgun Gothic" w:cs="Malgun Gothic"/>
          <w:szCs w:val="22"/>
          <w:lang w:val="ko" w:eastAsia="ko-KR"/>
        </w:rPr>
        <w:t xml:space="preserve">데이터의 사용이 </w:t>
      </w:r>
      <w:r>
        <w:fldChar w:fldCharType="begin"/>
      </w:r>
      <w:r>
        <w:rPr>
          <w:lang w:eastAsia="ko-KR"/>
        </w:rPr>
        <w:instrText>HYPERLINK "https://www.ndda.gov.au/about-ndda/guiding-principles"</w:instrText>
      </w:r>
      <w:r>
        <w:fldChar w:fldCharType="separate"/>
      </w:r>
      <w:r w:rsidRPr="00DB4F31">
        <w:rPr>
          <w:rFonts w:ascii="Malgun Gothic" w:eastAsia="Malgun Gothic" w:hAnsi="Malgun Gothic" w:cs="Malgun Gothic"/>
          <w:color w:val="467886" w:themeColor="hyperlink"/>
          <w:szCs w:val="22"/>
          <w:u w:val="single"/>
          <w:lang w:val="ko" w:eastAsia="ko-KR"/>
        </w:rPr>
        <w:t>전국 장애 데이터 자산 헌장</w:t>
      </w:r>
      <w:r>
        <w:rPr>
          <w:rFonts w:ascii="Malgun Gothic" w:eastAsia="Malgun Gothic" w:hAnsi="Malgun Gothic" w:cs="Malgun Gothic"/>
          <w:color w:val="467886" w:themeColor="hyperlink"/>
          <w:szCs w:val="22"/>
          <w:u w:val="single"/>
          <w:lang w:val="ko"/>
        </w:rPr>
        <w:fldChar w:fldCharType="end"/>
      </w:r>
      <w:r w:rsidRPr="00DB4F31">
        <w:rPr>
          <w:rFonts w:ascii="Malgun Gothic" w:eastAsia="Malgun Gothic" w:hAnsi="Malgun Gothic" w:cs="Malgun Gothic"/>
          <w:szCs w:val="22"/>
          <w:lang w:val="ko" w:eastAsia="ko-KR"/>
        </w:rPr>
        <w:t>(이하 '헌장')에 명시된 원칙 및 허용되는 사용 범위와 일치하는지 고려한다. 헌장을 준수하는 것은 전국 장애 데이터 자산에 대한 신뢰를 구축하는 중요한 방법입니다.</w:t>
      </w:r>
    </w:p>
    <w:p w14:paraId="64A8F3DB" w14:textId="77777777" w:rsidR="006C139C" w:rsidRPr="00DB4F31" w:rsidRDefault="00000000" w:rsidP="006C139C">
      <w:pPr>
        <w:numPr>
          <w:ilvl w:val="0"/>
          <w:numId w:val="2"/>
        </w:numPr>
        <w:spacing w:before="120" w:after="120" w:line="276" w:lineRule="auto"/>
        <w:contextualSpacing/>
        <w:rPr>
          <w:rFonts w:ascii="Montserrat" w:eastAsia="Calibri" w:hAnsi="Montserrat" w:cs="Calibri"/>
          <w:szCs w:val="22"/>
          <w:lang w:eastAsia="ko-KR"/>
        </w:rPr>
      </w:pPr>
      <w:r w:rsidRPr="00DB4F31">
        <w:rPr>
          <w:rFonts w:ascii="Malgun Gothic" w:eastAsia="Malgun Gothic" w:hAnsi="Malgun Gothic" w:cs="Malgun Gothic"/>
          <w:szCs w:val="22"/>
          <w:lang w:val="ko" w:eastAsia="ko-KR"/>
        </w:rPr>
        <w:t>데이터를 포함함으로써 그 가치가 크게 감소할 수 있는 제한 사항이 있는지 고려한다.</w:t>
      </w:r>
    </w:p>
    <w:p w14:paraId="40A00F9F" w14:textId="77777777" w:rsidR="006C139C" w:rsidRPr="00DB4F31" w:rsidRDefault="00000000" w:rsidP="006C139C">
      <w:pPr>
        <w:numPr>
          <w:ilvl w:val="0"/>
          <w:numId w:val="2"/>
        </w:numPr>
        <w:spacing w:before="120" w:after="120" w:line="276" w:lineRule="auto"/>
        <w:contextualSpacing/>
        <w:rPr>
          <w:rFonts w:ascii="Montserrat" w:eastAsia="Calibri" w:hAnsi="Montserrat" w:cs="Calibri"/>
          <w:szCs w:val="22"/>
          <w:lang w:eastAsia="ko-KR"/>
        </w:rPr>
      </w:pPr>
      <w:r w:rsidRPr="00DB4F31">
        <w:rPr>
          <w:rFonts w:ascii="Malgun Gothic" w:eastAsia="Malgun Gothic" w:hAnsi="Malgun Gothic" w:cs="Malgun Gothic"/>
          <w:szCs w:val="22"/>
          <w:lang w:val="ko" w:eastAsia="ko-KR"/>
        </w:rPr>
        <w:t>데이터가 장애인의 인권과 성과에 대한 새로운 아이디어와 지식을 뒷받침할 수 있는 잠재력이 있는지 고려한다. 여기에는 법률, 정책, 서비스 및 연구 개선에 대한 증거가 포함됩니다.</w:t>
      </w:r>
    </w:p>
    <w:p w14:paraId="5784124A" w14:textId="77777777" w:rsidR="006C139C" w:rsidRPr="00DB4F31" w:rsidRDefault="00000000" w:rsidP="006C139C">
      <w:pPr>
        <w:numPr>
          <w:ilvl w:val="0"/>
          <w:numId w:val="2"/>
        </w:numPr>
        <w:spacing w:before="120" w:after="120" w:line="276" w:lineRule="auto"/>
        <w:contextualSpacing/>
        <w:rPr>
          <w:rFonts w:ascii="Montserrat" w:eastAsia="Calibri" w:hAnsi="Montserrat" w:cs="Calibri"/>
          <w:szCs w:val="22"/>
          <w:lang w:eastAsia="ko-KR"/>
        </w:rPr>
      </w:pPr>
      <w:r w:rsidRPr="00DB4F31">
        <w:rPr>
          <w:rFonts w:ascii="Malgun Gothic" w:eastAsia="Malgun Gothic" w:hAnsi="Malgun Gothic" w:cs="Malgun Gothic"/>
          <w:szCs w:val="22"/>
          <w:lang w:val="ko" w:eastAsia="ko-KR"/>
        </w:rPr>
        <w:t>데이터가 특정 지역사회와 관련이 있는지 여부를 고려하고, 데이터를 포함할지 여부를 결정하는 데 해당 지역사회를 참여시키는 것을 고려한다.</w:t>
      </w:r>
    </w:p>
    <w:p w14:paraId="00BE7E53" w14:textId="77777777" w:rsidR="006C139C" w:rsidRPr="00DB4F31" w:rsidRDefault="00000000" w:rsidP="006C139C">
      <w:pPr>
        <w:spacing w:before="240" w:after="240" w:line="276" w:lineRule="auto"/>
        <w:outlineLvl w:val="1"/>
        <w:rPr>
          <w:rFonts w:ascii="Montserrat" w:eastAsia="Calibri" w:hAnsi="Montserrat" w:cs="Calibri"/>
          <w:b/>
          <w:color w:val="0D4AC4"/>
          <w:szCs w:val="22"/>
          <w:lang w:eastAsia="ko-KR"/>
        </w:rPr>
      </w:pPr>
      <w:r w:rsidRPr="00DB4F31">
        <w:rPr>
          <w:rFonts w:ascii="Malgun Gothic" w:eastAsia="Malgun Gothic" w:hAnsi="Malgun Gothic" w:cs="Malgun Gothic"/>
          <w:b/>
          <w:color w:val="0D4AC4"/>
          <w:szCs w:val="22"/>
          <w:lang w:val="ko" w:eastAsia="ko-KR"/>
        </w:rPr>
        <w:t xml:space="preserve">원칙을 적용하는 방법 </w:t>
      </w:r>
    </w:p>
    <w:p w14:paraId="2700D6AC" w14:textId="77777777" w:rsidR="006C139C" w:rsidRPr="00DB4F31" w:rsidRDefault="00000000" w:rsidP="006C139C">
      <w:pPr>
        <w:spacing w:before="120" w:line="276" w:lineRule="auto"/>
        <w:rPr>
          <w:rFonts w:ascii="Montserrat" w:eastAsia="Calibri" w:hAnsi="Montserrat"/>
          <w:szCs w:val="22"/>
          <w:lang w:eastAsia="ko-KR"/>
        </w:rPr>
      </w:pPr>
      <w:r w:rsidRPr="00DB4F31">
        <w:rPr>
          <w:rFonts w:ascii="Malgun Gothic" w:eastAsia="Malgun Gothic" w:hAnsi="Malgun Gothic" w:cs="Malgun Gothic"/>
          <w:szCs w:val="22"/>
          <w:lang w:val="ko" w:eastAsia="ko-KR"/>
        </w:rPr>
        <w:t>다양한 그룹이 이러한 원칙을 적용해야 합니다.</w:t>
      </w:r>
    </w:p>
    <w:p w14:paraId="663857E1" w14:textId="77777777" w:rsidR="006C139C" w:rsidRPr="00DB4F31" w:rsidRDefault="00000000" w:rsidP="006C139C">
      <w:pPr>
        <w:spacing w:before="120" w:line="276" w:lineRule="auto"/>
        <w:rPr>
          <w:rFonts w:ascii="Montserrat" w:eastAsia="Calibri" w:hAnsi="Montserrat"/>
          <w:szCs w:val="22"/>
        </w:rPr>
      </w:pPr>
      <w:proofErr w:type="spellStart"/>
      <w:r w:rsidRPr="00DB4F31">
        <w:rPr>
          <w:rFonts w:ascii="Malgun Gothic" w:eastAsia="Malgun Gothic" w:hAnsi="Malgun Gothic" w:cs="Malgun Gothic"/>
          <w:szCs w:val="22"/>
          <w:lang w:val="ko"/>
        </w:rPr>
        <w:t>여기에는</w:t>
      </w:r>
      <w:proofErr w:type="spellEnd"/>
      <w:r w:rsidRPr="00DB4F31">
        <w:rPr>
          <w:rFonts w:ascii="Malgun Gothic" w:eastAsia="Malgun Gothic" w:hAnsi="Malgun Gothic" w:cs="Malgun Gothic"/>
          <w:szCs w:val="22"/>
          <w:lang w:val="ko"/>
        </w:rPr>
        <w:t xml:space="preserve">: </w:t>
      </w:r>
    </w:p>
    <w:p w14:paraId="1A903E73" w14:textId="77777777" w:rsidR="006C139C" w:rsidRPr="00DB4F31" w:rsidRDefault="00000000" w:rsidP="006C139C">
      <w:pPr>
        <w:numPr>
          <w:ilvl w:val="0"/>
          <w:numId w:val="3"/>
        </w:numPr>
        <w:spacing w:before="120" w:after="120" w:line="276" w:lineRule="auto"/>
        <w:contextualSpacing/>
        <w:rPr>
          <w:rFonts w:ascii="Montserrat" w:eastAsia="Calibri" w:hAnsi="Montserrat"/>
          <w:szCs w:val="22"/>
          <w:lang w:eastAsia="ko-KR"/>
        </w:rPr>
      </w:pPr>
      <w:r w:rsidRPr="00DB4F31">
        <w:rPr>
          <w:rFonts w:ascii="Malgun Gothic" w:eastAsia="Malgun Gothic" w:hAnsi="Malgun Gothic" w:cs="Malgun Gothic"/>
          <w:szCs w:val="22"/>
          <w:lang w:val="ko" w:eastAsia="ko-KR"/>
        </w:rPr>
        <w:t>호주 정부 전국 장애 데이터 자산 팀</w:t>
      </w:r>
    </w:p>
    <w:p w14:paraId="2AB88C8F" w14:textId="77777777" w:rsidR="006C139C" w:rsidRPr="00DB4F31" w:rsidRDefault="00000000" w:rsidP="006C139C">
      <w:pPr>
        <w:numPr>
          <w:ilvl w:val="0"/>
          <w:numId w:val="3"/>
        </w:numPr>
        <w:spacing w:before="120" w:after="120" w:line="276" w:lineRule="auto"/>
        <w:contextualSpacing/>
        <w:rPr>
          <w:rFonts w:ascii="Montserrat" w:eastAsia="Calibri" w:hAnsi="Montserrat"/>
          <w:szCs w:val="22"/>
          <w:lang w:eastAsia="ko-KR"/>
        </w:rPr>
      </w:pPr>
      <w:r w:rsidRPr="00DB4F31">
        <w:rPr>
          <w:rFonts w:ascii="Malgun Gothic" w:eastAsia="Malgun Gothic" w:hAnsi="Malgun Gothic" w:cs="Malgun Gothic"/>
          <w:szCs w:val="22"/>
          <w:lang w:val="ko" w:eastAsia="ko-KR"/>
        </w:rPr>
        <w:t xml:space="preserve">데이터 관리자 - 데이터를 관리하고 안전하게 보관하는 정부 기관 </w:t>
      </w:r>
    </w:p>
    <w:p w14:paraId="04F50812" w14:textId="77777777" w:rsidR="006C139C" w:rsidRPr="00DB4F31" w:rsidRDefault="00000000" w:rsidP="006C139C">
      <w:pPr>
        <w:numPr>
          <w:ilvl w:val="0"/>
          <w:numId w:val="3"/>
        </w:numPr>
        <w:spacing w:before="120" w:after="120" w:line="276" w:lineRule="auto"/>
        <w:contextualSpacing/>
        <w:rPr>
          <w:rFonts w:ascii="Montserrat" w:eastAsia="Calibri" w:hAnsi="Montserrat"/>
          <w:szCs w:val="22"/>
        </w:rPr>
      </w:pPr>
      <w:proofErr w:type="spellStart"/>
      <w:r w:rsidRPr="00DB4F31">
        <w:rPr>
          <w:rFonts w:ascii="Malgun Gothic" w:eastAsia="Malgun Gothic" w:hAnsi="Malgun Gothic" w:cs="Malgun Gothic"/>
          <w:szCs w:val="22"/>
          <w:lang w:val="ko"/>
        </w:rPr>
        <w:t>위원회</w:t>
      </w:r>
      <w:proofErr w:type="spellEnd"/>
    </w:p>
    <w:p w14:paraId="47433DE8" w14:textId="77777777" w:rsidR="00505AF9" w:rsidRPr="006C139C" w:rsidRDefault="00000000" w:rsidP="006C139C">
      <w:pPr>
        <w:numPr>
          <w:ilvl w:val="0"/>
          <w:numId w:val="3"/>
        </w:numPr>
        <w:spacing w:before="120" w:after="120" w:line="276" w:lineRule="auto"/>
        <w:contextualSpacing/>
        <w:rPr>
          <w:rFonts w:ascii="Montserrat" w:eastAsia="Calibri" w:hAnsi="Montserrat"/>
          <w:szCs w:val="22"/>
        </w:rPr>
      </w:pPr>
      <w:proofErr w:type="spellStart"/>
      <w:r w:rsidRPr="00DB4F31">
        <w:rPr>
          <w:rFonts w:ascii="Malgun Gothic" w:eastAsia="Malgun Gothic" w:hAnsi="Malgun Gothic" w:cs="Malgun Gothic"/>
          <w:szCs w:val="22"/>
          <w:lang w:val="ko"/>
        </w:rPr>
        <w:t>자문</w:t>
      </w:r>
      <w:proofErr w:type="spellEnd"/>
      <w:r w:rsidRPr="00DB4F31">
        <w:rPr>
          <w:rFonts w:ascii="Malgun Gothic" w:eastAsia="Malgun Gothic" w:hAnsi="Malgun Gothic" w:cs="Malgun Gothic"/>
          <w:szCs w:val="22"/>
          <w:lang w:val="ko"/>
        </w:rPr>
        <w:t xml:space="preserve"> </w:t>
      </w:r>
      <w:proofErr w:type="spellStart"/>
      <w:r w:rsidRPr="00DB4F31">
        <w:rPr>
          <w:rFonts w:ascii="Malgun Gothic" w:eastAsia="Malgun Gothic" w:hAnsi="Malgun Gothic" w:cs="Malgun Gothic"/>
          <w:szCs w:val="22"/>
          <w:lang w:val="ko"/>
        </w:rPr>
        <w:t>패널</w:t>
      </w:r>
      <w:proofErr w:type="spellEnd"/>
      <w:r w:rsidRPr="00DB4F31">
        <w:rPr>
          <w:rFonts w:ascii="Malgun Gothic" w:eastAsia="Malgun Gothic" w:hAnsi="Malgun Gothic" w:cs="Malgun Gothic"/>
          <w:szCs w:val="22"/>
          <w:lang w:val="ko"/>
        </w:rPr>
        <w:t xml:space="preserve">. </w:t>
      </w:r>
    </w:p>
    <w:sectPr w:rsidR="00505AF9" w:rsidRPr="006C139C" w:rsidSect="00850D4E">
      <w:headerReference w:type="default" r:id="rId7"/>
      <w:footerReference w:type="default" r:id="rId8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00FA" w14:textId="77777777" w:rsidR="00615D25" w:rsidRDefault="00615D25">
      <w:r>
        <w:separator/>
      </w:r>
    </w:p>
  </w:endnote>
  <w:endnote w:type="continuationSeparator" w:id="0">
    <w:p w14:paraId="45F335FD" w14:textId="77777777" w:rsidR="00615D25" w:rsidRDefault="0061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" w:hAnsi="Montserrat"/>
      </w:rPr>
      <w:id w:val="14273450"/>
      <w:docPartObj>
        <w:docPartGallery w:val="Page Numbers (Bottom of Page)"/>
        <w:docPartUnique/>
      </w:docPartObj>
    </w:sdtPr>
    <w:sdtContent>
      <w:sdt>
        <w:sdtPr>
          <w:rPr>
            <w:rFonts w:ascii="Montserrat" w:hAnsi="Montserrat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0205E81" w14:textId="77777777" w:rsidR="00850D4E" w:rsidRPr="00850D4E" w:rsidRDefault="00000000" w:rsidP="00850D4E">
            <w:pPr>
              <w:pStyle w:val="Footer"/>
              <w:jc w:val="right"/>
              <w:rPr>
                <w:rFonts w:ascii="Montserrat" w:eastAsia="Calibri" w:hAnsi="Montserrat" w:cs="Calibri"/>
              </w:rPr>
            </w:pPr>
            <w:proofErr w:type="spellStart"/>
            <w:r w:rsidRPr="00850D4E">
              <w:rPr>
                <w:rFonts w:ascii="Malgun Gothic" w:eastAsia="Malgun Gothic" w:hAnsi="Malgun Gothic" w:cs="Malgun Gothic"/>
                <w:lang w:val="ko"/>
              </w:rPr>
              <w:t>페이지</w:t>
            </w:r>
            <w:proofErr w:type="spellEnd"/>
            <w:r w:rsidRPr="00850D4E">
              <w:rPr>
                <w:rFonts w:ascii="Montserrat" w:eastAsia="Calibri" w:hAnsi="Montserrat" w:cs="Calibri"/>
                <w:b/>
                <w:bCs/>
                <w:noProof/>
              </w:rPr>
              <w:fldChar w:fldCharType="begin"/>
            </w:r>
            <w:r w:rsidRPr="00850D4E">
              <w:rPr>
                <w:rFonts w:ascii="Malgun Gothic" w:eastAsia="Malgun Gothic" w:hAnsi="Malgun Gothic" w:cs="Malgun Gothic"/>
                <w:b/>
                <w:bCs/>
                <w:lang w:val="ko"/>
              </w:rPr>
              <w:instrText xml:space="preserve"> PAGE </w:instrText>
            </w:r>
            <w:r w:rsidRPr="00850D4E">
              <w:rPr>
                <w:rFonts w:ascii="Montserrat" w:eastAsiaTheme="minorHAnsi" w:hAnsi="Montserrat" w:cstheme="minorBidi"/>
                <w:b/>
                <w:bCs/>
              </w:rPr>
              <w:fldChar w:fldCharType="separate"/>
            </w:r>
            <w:r w:rsidRPr="00850D4E">
              <w:rPr>
                <w:rFonts w:ascii="Malgun Gothic" w:eastAsia="Malgun Gothic" w:hAnsi="Malgun Gothic" w:cs="Malgun Gothic"/>
                <w:b/>
                <w:bCs/>
                <w:lang w:val="ko"/>
              </w:rPr>
              <w:t>1</w:t>
            </w:r>
            <w:r w:rsidRPr="00850D4E">
              <w:rPr>
                <w:rFonts w:ascii="Montserrat" w:eastAsia="Calibri" w:hAnsi="Montserrat" w:cs="Calibri"/>
                <w:b/>
                <w:bCs/>
                <w:noProof/>
              </w:rPr>
              <w:fldChar w:fldCharType="end"/>
            </w:r>
            <w:r w:rsidRPr="00850D4E">
              <w:rPr>
                <w:rFonts w:ascii="Malgun Gothic" w:eastAsia="Malgun Gothic" w:hAnsi="Malgun Gothic" w:cs="Malgun Gothic"/>
                <w:lang w:val="ko"/>
              </w:rPr>
              <w:t xml:space="preserve"> / </w:t>
            </w:r>
            <w:r w:rsidRPr="00850D4E">
              <w:rPr>
                <w:rFonts w:ascii="Montserrat" w:eastAsia="Calibri" w:hAnsi="Montserrat" w:cs="Calibri"/>
                <w:b/>
                <w:bCs/>
                <w:noProof/>
              </w:rPr>
              <w:fldChar w:fldCharType="begin"/>
            </w:r>
            <w:r w:rsidRPr="00850D4E">
              <w:rPr>
                <w:rFonts w:ascii="Malgun Gothic" w:eastAsia="Malgun Gothic" w:hAnsi="Malgun Gothic" w:cs="Malgun Gothic"/>
                <w:b/>
                <w:bCs/>
                <w:lang w:val="ko"/>
              </w:rPr>
              <w:instrText xml:space="preserve"> NUMPAGES  </w:instrText>
            </w:r>
            <w:r w:rsidRPr="00850D4E">
              <w:rPr>
                <w:rFonts w:ascii="Montserrat" w:eastAsiaTheme="minorHAnsi" w:hAnsi="Montserrat" w:cstheme="minorBidi"/>
                <w:b/>
                <w:bCs/>
              </w:rPr>
              <w:fldChar w:fldCharType="separate"/>
            </w:r>
            <w:r w:rsidRPr="00850D4E">
              <w:rPr>
                <w:rFonts w:ascii="Malgun Gothic" w:eastAsia="Malgun Gothic" w:hAnsi="Malgun Gothic" w:cs="Malgun Gothic"/>
                <w:b/>
                <w:bCs/>
                <w:lang w:val="ko"/>
              </w:rPr>
              <w:t>1</w:t>
            </w:r>
            <w:r w:rsidRPr="00850D4E">
              <w:rPr>
                <w:rFonts w:ascii="Montserrat" w:eastAsia="Calibri" w:hAnsi="Montserrat" w:cs="Calibri"/>
                <w:b/>
                <w:bCs/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B08D3" w14:textId="77777777" w:rsidR="00615D25" w:rsidRDefault="00615D25">
      <w:r>
        <w:separator/>
      </w:r>
    </w:p>
  </w:footnote>
  <w:footnote w:type="continuationSeparator" w:id="0">
    <w:p w14:paraId="3D3E1906" w14:textId="77777777" w:rsidR="00615D25" w:rsidRDefault="0061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41DCA" w14:textId="679766C3" w:rsidR="00850D4E" w:rsidRDefault="00850D4E" w:rsidP="00850D4E">
    <w:pPr>
      <w:pStyle w:val="Header"/>
      <w:jc w:val="right"/>
    </w:pPr>
    <w:r>
      <w:rPr>
        <w:noProof/>
      </w:rPr>
      <w:drawing>
        <wp:inline distT="0" distB="0" distL="0" distR="0" wp14:anchorId="06C90AFF" wp14:editId="364E2BD8">
          <wp:extent cx="1627773" cy="640135"/>
          <wp:effectExtent l="0" t="0" r="0" b="0"/>
          <wp:docPr id="1453774540" name="Picture 1453774540" descr="사람과 데이터의 연결을 상징하는 점들로 연결된 다채로운 곡선의 전국 장애 데이터 자산 로고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774540" name="Picture 1453774540" descr="사람과 데이터의 연결을 상징하는 점들로 연결된 다채로운 곡선의 전국 장애 데이터 자산 로고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773" cy="64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7E72"/>
    <w:multiLevelType w:val="hybridMultilevel"/>
    <w:tmpl w:val="B8702470"/>
    <w:lvl w:ilvl="0" w:tplc="9BFE0D20">
      <w:start w:val="1"/>
      <w:numFmt w:val="decimal"/>
      <w:lvlText w:val="%1."/>
      <w:lvlJc w:val="left"/>
      <w:pPr>
        <w:ind w:left="720" w:hanging="360"/>
      </w:pPr>
    </w:lvl>
    <w:lvl w:ilvl="1" w:tplc="FA02E548">
      <w:start w:val="1"/>
      <w:numFmt w:val="lowerLetter"/>
      <w:lvlText w:val="%2."/>
      <w:lvlJc w:val="left"/>
      <w:pPr>
        <w:ind w:left="1440" w:hanging="360"/>
      </w:pPr>
    </w:lvl>
    <w:lvl w:ilvl="2" w:tplc="8B7CB7D8">
      <w:start w:val="1"/>
      <w:numFmt w:val="lowerRoman"/>
      <w:lvlText w:val="%3."/>
      <w:lvlJc w:val="right"/>
      <w:pPr>
        <w:ind w:left="2160" w:hanging="180"/>
      </w:pPr>
    </w:lvl>
    <w:lvl w:ilvl="3" w:tplc="8C46BE1E">
      <w:start w:val="1"/>
      <w:numFmt w:val="decimal"/>
      <w:lvlText w:val="%4."/>
      <w:lvlJc w:val="left"/>
      <w:pPr>
        <w:ind w:left="2880" w:hanging="360"/>
      </w:pPr>
    </w:lvl>
    <w:lvl w:ilvl="4" w:tplc="22C40F6A">
      <w:start w:val="1"/>
      <w:numFmt w:val="lowerLetter"/>
      <w:lvlText w:val="%5."/>
      <w:lvlJc w:val="left"/>
      <w:pPr>
        <w:ind w:left="3600" w:hanging="360"/>
      </w:pPr>
    </w:lvl>
    <w:lvl w:ilvl="5" w:tplc="92F4FF4A">
      <w:start w:val="1"/>
      <w:numFmt w:val="lowerRoman"/>
      <w:lvlText w:val="%6."/>
      <w:lvlJc w:val="right"/>
      <w:pPr>
        <w:ind w:left="4320" w:hanging="180"/>
      </w:pPr>
    </w:lvl>
    <w:lvl w:ilvl="6" w:tplc="76A04FBC">
      <w:start w:val="1"/>
      <w:numFmt w:val="decimal"/>
      <w:lvlText w:val="%7."/>
      <w:lvlJc w:val="left"/>
      <w:pPr>
        <w:ind w:left="5040" w:hanging="360"/>
      </w:pPr>
    </w:lvl>
    <w:lvl w:ilvl="7" w:tplc="4BF08C24">
      <w:start w:val="1"/>
      <w:numFmt w:val="lowerLetter"/>
      <w:lvlText w:val="%8."/>
      <w:lvlJc w:val="left"/>
      <w:pPr>
        <w:ind w:left="5760" w:hanging="360"/>
      </w:pPr>
    </w:lvl>
    <w:lvl w:ilvl="8" w:tplc="B83A33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9124C"/>
    <w:multiLevelType w:val="hybridMultilevel"/>
    <w:tmpl w:val="25C431D0"/>
    <w:lvl w:ilvl="0" w:tplc="788AB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CDC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F2F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3A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E07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36F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FC6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B03E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100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4613E"/>
    <w:multiLevelType w:val="hybridMultilevel"/>
    <w:tmpl w:val="BED43BA4"/>
    <w:lvl w:ilvl="0" w:tplc="012EA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C4B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65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68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0E7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8C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B24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A6C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BE3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919035">
    <w:abstractNumId w:val="1"/>
  </w:num>
  <w:num w:numId="2" w16cid:durableId="1216434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3823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27"/>
    <w:rsid w:val="00012171"/>
    <w:rsid w:val="00044B27"/>
    <w:rsid w:val="000862DF"/>
    <w:rsid w:val="00090227"/>
    <w:rsid w:val="000A3E60"/>
    <w:rsid w:val="000F3B3B"/>
    <w:rsid w:val="000F50C9"/>
    <w:rsid w:val="0019199B"/>
    <w:rsid w:val="001A3BEF"/>
    <w:rsid w:val="001B3724"/>
    <w:rsid w:val="001C6608"/>
    <w:rsid w:val="001E3D3B"/>
    <w:rsid w:val="001E4B68"/>
    <w:rsid w:val="002071F9"/>
    <w:rsid w:val="002074F3"/>
    <w:rsid w:val="00230E36"/>
    <w:rsid w:val="00246B84"/>
    <w:rsid w:val="00272FE8"/>
    <w:rsid w:val="002B272C"/>
    <w:rsid w:val="002D4844"/>
    <w:rsid w:val="002D6F8F"/>
    <w:rsid w:val="00307552"/>
    <w:rsid w:val="00307C11"/>
    <w:rsid w:val="003C73EB"/>
    <w:rsid w:val="003E1400"/>
    <w:rsid w:val="00405AB8"/>
    <w:rsid w:val="00477C06"/>
    <w:rsid w:val="004A05E2"/>
    <w:rsid w:val="004C630E"/>
    <w:rsid w:val="004E6477"/>
    <w:rsid w:val="004F6012"/>
    <w:rsid w:val="00505AF9"/>
    <w:rsid w:val="00520B44"/>
    <w:rsid w:val="00524BCA"/>
    <w:rsid w:val="00586461"/>
    <w:rsid w:val="005D3231"/>
    <w:rsid w:val="005F6610"/>
    <w:rsid w:val="00615D25"/>
    <w:rsid w:val="00616FDC"/>
    <w:rsid w:val="00632C72"/>
    <w:rsid w:val="00636FF8"/>
    <w:rsid w:val="006449C4"/>
    <w:rsid w:val="00663AE3"/>
    <w:rsid w:val="006B60D8"/>
    <w:rsid w:val="006B6572"/>
    <w:rsid w:val="006C139C"/>
    <w:rsid w:val="006E32E9"/>
    <w:rsid w:val="006E5C11"/>
    <w:rsid w:val="007053B2"/>
    <w:rsid w:val="007F3F42"/>
    <w:rsid w:val="00812683"/>
    <w:rsid w:val="00820063"/>
    <w:rsid w:val="0084410B"/>
    <w:rsid w:val="00844448"/>
    <w:rsid w:val="00850D4E"/>
    <w:rsid w:val="008712A7"/>
    <w:rsid w:val="008C7364"/>
    <w:rsid w:val="00970472"/>
    <w:rsid w:val="00974979"/>
    <w:rsid w:val="009B7888"/>
    <w:rsid w:val="00A27D3D"/>
    <w:rsid w:val="00A469AB"/>
    <w:rsid w:val="00AA100E"/>
    <w:rsid w:val="00AD78DC"/>
    <w:rsid w:val="00B13FF7"/>
    <w:rsid w:val="00B50B38"/>
    <w:rsid w:val="00B631F5"/>
    <w:rsid w:val="00B759DC"/>
    <w:rsid w:val="00BA3001"/>
    <w:rsid w:val="00BD4D90"/>
    <w:rsid w:val="00BE62DB"/>
    <w:rsid w:val="00C12AE9"/>
    <w:rsid w:val="00C17B03"/>
    <w:rsid w:val="00C61645"/>
    <w:rsid w:val="00C83916"/>
    <w:rsid w:val="00CA655F"/>
    <w:rsid w:val="00CE02FF"/>
    <w:rsid w:val="00D2432E"/>
    <w:rsid w:val="00D515B2"/>
    <w:rsid w:val="00D601C3"/>
    <w:rsid w:val="00D66509"/>
    <w:rsid w:val="00DB0450"/>
    <w:rsid w:val="00DB4F31"/>
    <w:rsid w:val="00DC449A"/>
    <w:rsid w:val="00E02BB7"/>
    <w:rsid w:val="00E12DA9"/>
    <w:rsid w:val="00E54687"/>
    <w:rsid w:val="00E73401"/>
    <w:rsid w:val="00E8019C"/>
    <w:rsid w:val="00E9413D"/>
    <w:rsid w:val="00EC1210"/>
    <w:rsid w:val="00ED457B"/>
    <w:rsid w:val="00F12623"/>
    <w:rsid w:val="00F14DCE"/>
    <w:rsid w:val="00F4321A"/>
    <w:rsid w:val="00F458E2"/>
    <w:rsid w:val="00F469D0"/>
    <w:rsid w:val="00F70B22"/>
    <w:rsid w:val="00F95437"/>
    <w:rsid w:val="00FD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91FD15"/>
  <w15:chartTrackingRefBased/>
  <w15:docId w15:val="{B7527AE7-4D54-47A9-AEC2-6959979A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B27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B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B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B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B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B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B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B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B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B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B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B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B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B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B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B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B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0D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D4E"/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0D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D4E"/>
    <w:rPr>
      <w:rFonts w:ascii="Times New Roman" w:eastAsia="Times New Roman" w:hAnsi="Times New Roman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Disability Data Asset Principles for adding datasets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전국 장애 데이터 자산</dc:title>
  <dc:creator>Australian Government Department of Social Services</dc:creator>
  <cp:lastModifiedBy>User</cp:lastModifiedBy>
  <cp:revision>6</cp:revision>
  <dcterms:created xsi:type="dcterms:W3CDTF">2025-06-06T02:01:00Z</dcterms:created>
  <dcterms:modified xsi:type="dcterms:W3CDTF">2025-06-09T22:55:00Z</dcterms:modified>
</cp:coreProperties>
</file>