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0A23" w14:textId="77777777" w:rsidR="006C139C" w:rsidRPr="00AA6E59" w:rsidRDefault="009446C6" w:rsidP="006C139C">
      <w:pPr>
        <w:bidi/>
        <w:spacing w:before="240" w:line="276" w:lineRule="auto"/>
        <w:outlineLvl w:val="0"/>
        <w:rPr>
          <w:rFonts w:ascii="Dubai" w:eastAsia="Calibri" w:hAnsi="Dubai" w:cs="Dubai"/>
          <w:b/>
          <w:bCs/>
          <w:sz w:val="28"/>
          <w:szCs w:val="28"/>
        </w:rPr>
      </w:pPr>
      <w:r w:rsidRPr="00AA6E59">
        <w:rPr>
          <w:rFonts w:ascii="Dubai" w:eastAsia="Calibri" w:hAnsi="Dubai" w:cs="Dubai"/>
          <w:b/>
          <w:bCs/>
          <w:color w:val="136613"/>
          <w:sz w:val="28"/>
          <w:szCs w:val="28"/>
          <w:rtl/>
          <w:lang w:val="ar"/>
        </w:rPr>
        <w:t xml:space="preserve">أصل بيانات الإعاقة الوطنية </w:t>
      </w:r>
    </w:p>
    <w:p w14:paraId="5108CD6F" w14:textId="77777777" w:rsidR="006C139C" w:rsidRPr="00AA6E59" w:rsidRDefault="009446C6" w:rsidP="006C139C">
      <w:pPr>
        <w:bidi/>
        <w:spacing w:before="240" w:after="240" w:line="276" w:lineRule="auto"/>
        <w:outlineLvl w:val="0"/>
        <w:rPr>
          <w:rFonts w:ascii="Dubai" w:eastAsia="Calibri" w:hAnsi="Dubai" w:cs="Dubai"/>
          <w:b/>
          <w:bCs/>
          <w:color w:val="136613"/>
          <w:sz w:val="28"/>
          <w:szCs w:val="28"/>
        </w:rPr>
      </w:pPr>
      <w:r w:rsidRPr="00AA6E59">
        <w:rPr>
          <w:rFonts w:ascii="Dubai" w:eastAsia="Calibri" w:hAnsi="Dubai" w:cs="Dubai"/>
          <w:b/>
          <w:bCs/>
          <w:color w:val="136613"/>
          <w:sz w:val="28"/>
          <w:szCs w:val="28"/>
          <w:rtl/>
          <w:lang w:val="ar"/>
        </w:rPr>
        <w:t xml:space="preserve">مبادئ إضافة مجموعات البيانات </w:t>
      </w:r>
    </w:p>
    <w:p w14:paraId="59BE0ABE" w14:textId="77777777" w:rsidR="006C139C" w:rsidRPr="008B3B0F" w:rsidRDefault="009446C6" w:rsidP="006C139C">
      <w:pPr>
        <w:bidi/>
        <w:spacing w:before="120" w:after="120" w:line="276" w:lineRule="auto"/>
        <w:rPr>
          <w:rFonts w:ascii="Dubai" w:eastAsia="Calibri" w:hAnsi="Dubai" w:cs="Dubai"/>
          <w:szCs w:val="22"/>
        </w:rPr>
      </w:pPr>
      <w:r w:rsidRPr="008B3B0F">
        <w:rPr>
          <w:rFonts w:ascii="Dubai" w:eastAsia="Calibri" w:hAnsi="Dubai" w:cs="Dubai"/>
          <w:szCs w:val="22"/>
          <w:rtl/>
          <w:lang w:val="ar"/>
        </w:rPr>
        <w:t xml:space="preserve">هناك 4 مبادئ للمساعدة في توجيه القرارات حول ما إذا كان ينبغي تضمين مجموعات البيانات في أصل بيانات الإعاقة الوطنية. طور مجلس </w:t>
      </w:r>
      <w:bookmarkStart w:id="0" w:name="_Hlk196385144"/>
      <w:r w:rsidRPr="008B3B0F">
        <w:rPr>
          <w:rFonts w:ascii="Dubai" w:eastAsia="Calibri" w:hAnsi="Dubai" w:cs="Dubai"/>
          <w:szCs w:val="22"/>
          <w:rtl/>
          <w:lang w:val="ar"/>
        </w:rPr>
        <w:t>أصل بيانات الإعاقة الوطنية</w:t>
      </w:r>
      <w:bookmarkEnd w:id="0"/>
      <w:r w:rsidRPr="008B3B0F">
        <w:rPr>
          <w:rFonts w:ascii="Dubai" w:eastAsia="Calibri" w:hAnsi="Dubai" w:cs="Dubai"/>
          <w:szCs w:val="22"/>
          <w:rtl/>
          <w:lang w:val="ar"/>
        </w:rPr>
        <w:t xml:space="preserve"> (المجلس) هذه المبادئ لاستخدامها اعتبارًا من عام 2026.</w:t>
      </w:r>
    </w:p>
    <w:p w14:paraId="6AAEF8AE" w14:textId="77777777" w:rsidR="006C139C" w:rsidRPr="00361EC0" w:rsidRDefault="009446C6" w:rsidP="006C139C">
      <w:pPr>
        <w:bidi/>
        <w:spacing w:before="240" w:after="240" w:line="276" w:lineRule="auto"/>
        <w:outlineLvl w:val="1"/>
        <w:rPr>
          <w:rFonts w:ascii="Dubai" w:eastAsia="Calibri" w:hAnsi="Dubai" w:cs="Dubai"/>
          <w:b/>
          <w:bCs/>
          <w:color w:val="0D4AC4"/>
        </w:rPr>
      </w:pPr>
      <w:r w:rsidRPr="00361EC0">
        <w:rPr>
          <w:rFonts w:ascii="Dubai" w:eastAsia="Calibri" w:hAnsi="Dubai" w:cs="Dubai"/>
          <w:b/>
          <w:bCs/>
          <w:color w:val="0D4AC4"/>
          <w:rtl/>
          <w:lang w:val="ar"/>
        </w:rPr>
        <w:t xml:space="preserve">تشمل المبادئ الأربعة ما يلي: </w:t>
      </w:r>
    </w:p>
    <w:p w14:paraId="55872D5C" w14:textId="77777777" w:rsidR="006C139C" w:rsidRPr="008B3B0F" w:rsidRDefault="009446C6" w:rsidP="006C139C">
      <w:pPr>
        <w:numPr>
          <w:ilvl w:val="0"/>
          <w:numId w:val="2"/>
        </w:numPr>
        <w:bidi/>
        <w:spacing w:before="120" w:after="120" w:line="276" w:lineRule="auto"/>
        <w:contextualSpacing/>
        <w:rPr>
          <w:rFonts w:ascii="Dubai" w:eastAsia="Calibri" w:hAnsi="Dubai" w:cs="Dubai"/>
          <w:szCs w:val="22"/>
        </w:rPr>
      </w:pPr>
      <w:r w:rsidRPr="008B3B0F">
        <w:rPr>
          <w:rFonts w:ascii="Dubai" w:eastAsia="Calibri" w:hAnsi="Dubai" w:cs="Dubai"/>
          <w:szCs w:val="22"/>
          <w:rtl/>
          <w:lang w:val="ar"/>
        </w:rPr>
        <w:t xml:space="preserve">التفكير فيما إذا كان استخدام البيانات يتماشى مع المبادئ والاستخدامات المقبولة في </w:t>
      </w:r>
      <w:hyperlink r:id="rId7" w:history="1">
        <w:r w:rsidRPr="008B3B0F">
          <w:rPr>
            <w:rFonts w:ascii="Dubai" w:eastAsia="Calibri" w:hAnsi="Dubai" w:cs="Dubai"/>
            <w:color w:val="467886" w:themeColor="hyperlink"/>
            <w:szCs w:val="22"/>
            <w:u w:val="single"/>
            <w:rtl/>
            <w:lang w:val="ar"/>
          </w:rPr>
          <w:t>ميثاق أصل بيانات الإعاقة الوطنية</w:t>
        </w:r>
      </w:hyperlink>
      <w:r w:rsidRPr="008B3B0F">
        <w:rPr>
          <w:rFonts w:ascii="Dubai" w:eastAsia="Calibri" w:hAnsi="Dubai" w:cs="Dubai"/>
          <w:szCs w:val="22"/>
          <w:rtl/>
          <w:lang w:val="ar"/>
        </w:rPr>
        <w:t xml:space="preserve"> (الميثاق). اتباع الميثاق طريقة مهمة لبناء الثقة في أصل بيانات الإعاقة الوطنية.</w:t>
      </w:r>
    </w:p>
    <w:p w14:paraId="3DE40FD1" w14:textId="77777777" w:rsidR="006C139C" w:rsidRPr="008B3B0F" w:rsidRDefault="009446C6" w:rsidP="006C139C">
      <w:pPr>
        <w:numPr>
          <w:ilvl w:val="0"/>
          <w:numId w:val="2"/>
        </w:numPr>
        <w:bidi/>
        <w:spacing w:before="120" w:after="120" w:line="276" w:lineRule="auto"/>
        <w:contextualSpacing/>
        <w:rPr>
          <w:rFonts w:ascii="Dubai" w:eastAsia="Calibri" w:hAnsi="Dubai" w:cs="Dubai"/>
          <w:szCs w:val="22"/>
        </w:rPr>
      </w:pPr>
      <w:r w:rsidRPr="008B3B0F">
        <w:rPr>
          <w:rFonts w:ascii="Dubai" w:eastAsia="Calibri" w:hAnsi="Dubai" w:cs="Dubai"/>
          <w:szCs w:val="22"/>
          <w:rtl/>
          <w:lang w:val="ar"/>
        </w:rPr>
        <w:t>التفكير فيما إذا كانت هناك قيود من شأنها أن تقلل بشكل كبير من قيمة تضمين البيانات.</w:t>
      </w:r>
    </w:p>
    <w:p w14:paraId="713FA641" w14:textId="77777777" w:rsidR="006C139C" w:rsidRPr="008B3B0F" w:rsidRDefault="009446C6" w:rsidP="006C139C">
      <w:pPr>
        <w:numPr>
          <w:ilvl w:val="0"/>
          <w:numId w:val="2"/>
        </w:numPr>
        <w:bidi/>
        <w:spacing w:before="120" w:after="120" w:line="276" w:lineRule="auto"/>
        <w:contextualSpacing/>
        <w:rPr>
          <w:rFonts w:ascii="Dubai" w:eastAsia="Calibri" w:hAnsi="Dubai" w:cs="Dubai"/>
          <w:szCs w:val="22"/>
        </w:rPr>
      </w:pPr>
      <w:r w:rsidRPr="008B3B0F">
        <w:rPr>
          <w:rFonts w:ascii="Dubai" w:eastAsia="Calibri" w:hAnsi="Dubai" w:cs="Dubai"/>
          <w:szCs w:val="22"/>
          <w:rtl/>
          <w:lang w:val="ar"/>
        </w:rPr>
        <w:t>التفكير فيما إذا كانت البيانات لديها القدرة على دعم الأفكار والمعرفة الجديدة حول النتائج وحقوق الإنسان للأشخاص ذوي الإعاقة. ويشمل ذلك أدلة لتحسين القوانين والسياسات والخدمات والبحوث.</w:t>
      </w:r>
    </w:p>
    <w:p w14:paraId="31DA09F2" w14:textId="77777777" w:rsidR="006C139C" w:rsidRPr="008B3B0F" w:rsidRDefault="009446C6" w:rsidP="006C139C">
      <w:pPr>
        <w:numPr>
          <w:ilvl w:val="0"/>
          <w:numId w:val="2"/>
        </w:numPr>
        <w:bidi/>
        <w:spacing w:before="120" w:after="120" w:line="276" w:lineRule="auto"/>
        <w:contextualSpacing/>
        <w:rPr>
          <w:rFonts w:ascii="Dubai" w:eastAsia="Calibri" w:hAnsi="Dubai" w:cs="Dubai"/>
          <w:szCs w:val="22"/>
        </w:rPr>
      </w:pPr>
      <w:r w:rsidRPr="008B3B0F">
        <w:rPr>
          <w:rFonts w:ascii="Dubai" w:eastAsia="Calibri" w:hAnsi="Dubai" w:cs="Dubai"/>
          <w:szCs w:val="22"/>
          <w:rtl/>
          <w:lang w:val="ar"/>
        </w:rPr>
        <w:t>التفكير فيما إذا كانت البيانات تتعلق بمجتمعات معينة وإشراك هذه المجتمعات في القرارات المتعلقة بتضمين البيانات أم لا.</w:t>
      </w:r>
    </w:p>
    <w:p w14:paraId="14BC45FC" w14:textId="77777777" w:rsidR="006C139C" w:rsidRPr="00361EC0" w:rsidRDefault="009446C6" w:rsidP="006C139C">
      <w:pPr>
        <w:bidi/>
        <w:spacing w:before="240" w:after="240" w:line="276" w:lineRule="auto"/>
        <w:outlineLvl w:val="1"/>
        <w:rPr>
          <w:rFonts w:ascii="Dubai" w:eastAsia="Calibri" w:hAnsi="Dubai" w:cs="Dubai"/>
          <w:b/>
          <w:bCs/>
          <w:color w:val="0D4AC4"/>
        </w:rPr>
      </w:pPr>
      <w:r w:rsidRPr="00361EC0">
        <w:rPr>
          <w:rFonts w:ascii="Dubai" w:eastAsia="Calibri" w:hAnsi="Dubai" w:cs="Dubai"/>
          <w:b/>
          <w:bCs/>
          <w:color w:val="0D4AC4"/>
          <w:rtl/>
          <w:lang w:val="ar"/>
        </w:rPr>
        <w:t xml:space="preserve">كيفية تطبيق المبادئ </w:t>
      </w:r>
    </w:p>
    <w:p w14:paraId="15D58973" w14:textId="77777777" w:rsidR="006C139C" w:rsidRPr="008B3B0F" w:rsidRDefault="009446C6" w:rsidP="006C139C">
      <w:pPr>
        <w:bidi/>
        <w:spacing w:before="120" w:line="276" w:lineRule="auto"/>
        <w:rPr>
          <w:rFonts w:ascii="Dubai" w:eastAsia="Calibri" w:hAnsi="Dubai" w:cs="Dubai"/>
          <w:szCs w:val="22"/>
        </w:rPr>
      </w:pPr>
      <w:r w:rsidRPr="008B3B0F">
        <w:rPr>
          <w:rFonts w:ascii="Dubai" w:eastAsia="Calibri" w:hAnsi="Dubai" w:cs="Dubai"/>
          <w:szCs w:val="22"/>
          <w:rtl/>
          <w:lang w:val="ar"/>
        </w:rPr>
        <w:t>ستحتاج المجموعات المختلفة إلى استخدام هذه المبادئ.</w:t>
      </w:r>
    </w:p>
    <w:p w14:paraId="3C06BD65" w14:textId="77777777" w:rsidR="006C139C" w:rsidRPr="008B3B0F" w:rsidRDefault="009446C6" w:rsidP="006C139C">
      <w:pPr>
        <w:bidi/>
        <w:spacing w:before="120" w:line="276" w:lineRule="auto"/>
        <w:rPr>
          <w:rFonts w:ascii="Dubai" w:eastAsia="Calibri" w:hAnsi="Dubai" w:cs="Dubai"/>
          <w:szCs w:val="22"/>
        </w:rPr>
      </w:pPr>
      <w:r w:rsidRPr="008B3B0F">
        <w:rPr>
          <w:rFonts w:ascii="Dubai" w:eastAsia="Calibri" w:hAnsi="Dubai" w:cs="Dubai"/>
          <w:szCs w:val="22"/>
          <w:rtl/>
          <w:lang w:val="ar"/>
        </w:rPr>
        <w:t xml:space="preserve">يشمل ذلك: </w:t>
      </w:r>
    </w:p>
    <w:p w14:paraId="699CA381" w14:textId="77777777" w:rsidR="006C139C" w:rsidRPr="008B3B0F" w:rsidRDefault="009446C6" w:rsidP="006C139C">
      <w:pPr>
        <w:numPr>
          <w:ilvl w:val="0"/>
          <w:numId w:val="3"/>
        </w:numPr>
        <w:bidi/>
        <w:spacing w:before="120" w:after="120" w:line="276" w:lineRule="auto"/>
        <w:contextualSpacing/>
        <w:rPr>
          <w:rFonts w:ascii="Dubai" w:eastAsia="Calibri" w:hAnsi="Dubai" w:cs="Dubai"/>
          <w:szCs w:val="22"/>
        </w:rPr>
      </w:pPr>
      <w:r w:rsidRPr="008B3B0F">
        <w:rPr>
          <w:rFonts w:ascii="Dubai" w:eastAsia="Calibri" w:hAnsi="Dubai" w:cs="Dubai"/>
          <w:szCs w:val="22"/>
          <w:rtl/>
          <w:lang w:val="ar"/>
        </w:rPr>
        <w:t>فريق أصل بيانات الإعاقة الوطنية للحكومة الأسترالية</w:t>
      </w:r>
    </w:p>
    <w:p w14:paraId="39398792" w14:textId="77777777" w:rsidR="006C139C" w:rsidRPr="008B3B0F" w:rsidRDefault="009446C6" w:rsidP="006C139C">
      <w:pPr>
        <w:numPr>
          <w:ilvl w:val="0"/>
          <w:numId w:val="3"/>
        </w:numPr>
        <w:bidi/>
        <w:spacing w:before="120" w:after="120" w:line="276" w:lineRule="auto"/>
        <w:contextualSpacing/>
        <w:rPr>
          <w:rFonts w:ascii="Dubai" w:eastAsia="Calibri" w:hAnsi="Dubai" w:cs="Dubai"/>
          <w:szCs w:val="22"/>
        </w:rPr>
      </w:pPr>
      <w:r w:rsidRPr="008B3B0F">
        <w:rPr>
          <w:rFonts w:ascii="Dubai" w:eastAsia="Calibri" w:hAnsi="Dubai" w:cs="Dubai"/>
          <w:szCs w:val="22"/>
          <w:rtl/>
          <w:lang w:val="ar"/>
        </w:rPr>
        <w:t xml:space="preserve">أمناء البيانات - الوكالات الحكومية التي تدير البيانات وتحافظ عليها آمنة </w:t>
      </w:r>
    </w:p>
    <w:p w14:paraId="6F12C19B" w14:textId="77777777" w:rsidR="006C139C" w:rsidRPr="008B3B0F" w:rsidRDefault="009446C6" w:rsidP="006C139C">
      <w:pPr>
        <w:numPr>
          <w:ilvl w:val="0"/>
          <w:numId w:val="3"/>
        </w:numPr>
        <w:bidi/>
        <w:spacing w:before="120" w:after="120" w:line="276" w:lineRule="auto"/>
        <w:contextualSpacing/>
        <w:rPr>
          <w:rFonts w:ascii="Dubai" w:eastAsia="Calibri" w:hAnsi="Dubai" w:cs="Dubai"/>
          <w:szCs w:val="22"/>
        </w:rPr>
      </w:pPr>
      <w:r w:rsidRPr="008B3B0F">
        <w:rPr>
          <w:rFonts w:ascii="Dubai" w:eastAsia="Calibri" w:hAnsi="Dubai" w:cs="Dubai"/>
          <w:szCs w:val="22"/>
          <w:rtl/>
          <w:lang w:val="ar"/>
        </w:rPr>
        <w:t>المجلس</w:t>
      </w:r>
    </w:p>
    <w:p w14:paraId="3D9A41C8" w14:textId="77777777" w:rsidR="00505AF9" w:rsidRPr="008B3B0F" w:rsidRDefault="009446C6" w:rsidP="006C139C">
      <w:pPr>
        <w:numPr>
          <w:ilvl w:val="0"/>
          <w:numId w:val="3"/>
        </w:numPr>
        <w:bidi/>
        <w:spacing w:before="120" w:after="120" w:line="276" w:lineRule="auto"/>
        <w:contextualSpacing/>
        <w:rPr>
          <w:rFonts w:ascii="Dubai" w:eastAsia="Calibri" w:hAnsi="Dubai" w:cs="Dubai"/>
          <w:szCs w:val="22"/>
        </w:rPr>
      </w:pPr>
      <w:bookmarkStart w:id="1" w:name="_GoBack"/>
      <w:bookmarkEnd w:id="1"/>
      <w:r w:rsidRPr="008B3B0F">
        <w:rPr>
          <w:rFonts w:ascii="Dubai" w:eastAsia="Calibri" w:hAnsi="Dubai" w:cs="Dubai"/>
          <w:szCs w:val="22"/>
          <w:rtl/>
          <w:lang w:val="ar"/>
        </w:rPr>
        <w:t xml:space="preserve">اللجان الاستشارية. </w:t>
      </w:r>
    </w:p>
    <w:sectPr w:rsidR="00505AF9" w:rsidRPr="008B3B0F" w:rsidSect="00850D4E">
      <w:headerReference w:type="default" r:id="rId8"/>
      <w:footerReference w:type="default" r:id="rId9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35E4D" w14:textId="77777777" w:rsidR="008367A1" w:rsidRDefault="008367A1">
      <w:r>
        <w:separator/>
      </w:r>
    </w:p>
  </w:endnote>
  <w:endnote w:type="continuationSeparator" w:id="0">
    <w:p w14:paraId="51A34718" w14:textId="77777777" w:rsidR="008367A1" w:rsidRDefault="0083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ubai" w:hAnsi="Dubai" w:cs="Dubai"/>
        <w:rtl/>
      </w:rPr>
      <w:id w:val="14273450"/>
      <w:docPartObj>
        <w:docPartGallery w:val="Page Numbers (Bottom of Page)"/>
        <w:docPartUnique/>
      </w:docPartObj>
    </w:sdtPr>
    <w:sdtEndPr/>
    <w:sdtContent>
      <w:sdt>
        <w:sdtPr>
          <w:rPr>
            <w:rFonts w:ascii="Dubai" w:hAnsi="Dubai" w:cs="Dubai"/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F946F" w14:textId="0305A68F" w:rsidR="00850D4E" w:rsidRPr="004A0ACE" w:rsidRDefault="009446C6" w:rsidP="00F65A3A">
            <w:pPr>
              <w:pStyle w:val="Footer"/>
              <w:bidi/>
              <w:rPr>
                <w:rFonts w:ascii="Dubai" w:eastAsia="Calibri" w:hAnsi="Dubai" w:cs="Dubai"/>
              </w:rPr>
            </w:pPr>
            <w:r w:rsidRPr="004A0ACE">
              <w:rPr>
                <w:rFonts w:ascii="Dubai" w:eastAsia="Calibri" w:hAnsi="Dubai" w:cs="Dubai"/>
                <w:rtl/>
                <w:lang w:val="ar"/>
              </w:rPr>
              <w:t xml:space="preserve">صفحة </w:t>
            </w:r>
            <w:r w:rsidRPr="004A0ACE">
              <w:rPr>
                <w:rFonts w:ascii="Dubai" w:eastAsia="Calibri" w:hAnsi="Dubai" w:cs="Dubai"/>
                <w:b/>
                <w:bCs/>
                <w:noProof/>
              </w:rPr>
              <w:fldChar w:fldCharType="begin"/>
            </w:r>
            <w:r w:rsidRPr="004A0ACE">
              <w:rPr>
                <w:rFonts w:ascii="Dubai" w:hAnsi="Dubai" w:cs="Dubai"/>
                <w:b/>
                <w:bCs/>
                <w:rtl/>
                <w:lang w:val="ar"/>
              </w:rPr>
              <w:instrText xml:space="preserve"> PAGE </w:instrText>
            </w:r>
            <w:r w:rsidRPr="004A0ACE">
              <w:rPr>
                <w:rFonts w:ascii="Dubai" w:eastAsiaTheme="minorHAnsi" w:hAnsi="Dubai" w:cs="Dubai"/>
                <w:b/>
                <w:bCs/>
              </w:rPr>
              <w:fldChar w:fldCharType="separate"/>
            </w:r>
            <w:r w:rsidRPr="004A0ACE">
              <w:rPr>
                <w:rFonts w:ascii="Dubai" w:hAnsi="Dubai" w:cs="Dubai"/>
                <w:b/>
                <w:bCs/>
                <w:rtl/>
                <w:lang w:val="ar"/>
              </w:rPr>
              <w:t>1</w:t>
            </w:r>
            <w:r w:rsidRPr="004A0ACE">
              <w:rPr>
                <w:rFonts w:ascii="Dubai" w:eastAsia="Calibri" w:hAnsi="Dubai" w:cs="Dubai"/>
                <w:b/>
                <w:bCs/>
                <w:noProof/>
              </w:rPr>
              <w:fldChar w:fldCharType="end"/>
            </w:r>
            <w:r w:rsidRPr="004A0ACE">
              <w:rPr>
                <w:rFonts w:ascii="Dubai" w:eastAsia="Calibri" w:hAnsi="Dubai" w:cs="Dubai"/>
                <w:rtl/>
                <w:lang w:val="ar"/>
              </w:rPr>
              <w:t xml:space="preserve"> من </w:t>
            </w:r>
            <w:r w:rsidRPr="004A0ACE">
              <w:rPr>
                <w:rFonts w:ascii="Dubai" w:eastAsia="Calibri" w:hAnsi="Dubai" w:cs="Dubai"/>
                <w:b/>
                <w:bCs/>
                <w:noProof/>
              </w:rPr>
              <w:fldChar w:fldCharType="begin"/>
            </w:r>
            <w:r w:rsidRPr="004A0ACE">
              <w:rPr>
                <w:rFonts w:ascii="Dubai" w:hAnsi="Dubai" w:cs="Dubai"/>
                <w:b/>
                <w:bCs/>
                <w:rtl/>
                <w:lang w:val="ar"/>
              </w:rPr>
              <w:instrText xml:space="preserve"> NUMPAGES  </w:instrText>
            </w:r>
            <w:r w:rsidRPr="004A0ACE">
              <w:rPr>
                <w:rFonts w:ascii="Dubai" w:eastAsiaTheme="minorHAnsi" w:hAnsi="Dubai" w:cs="Dubai"/>
                <w:b/>
                <w:bCs/>
              </w:rPr>
              <w:fldChar w:fldCharType="separate"/>
            </w:r>
            <w:r w:rsidRPr="004A0ACE">
              <w:rPr>
                <w:rFonts w:ascii="Dubai" w:hAnsi="Dubai" w:cs="Dubai"/>
                <w:b/>
                <w:bCs/>
                <w:rtl/>
                <w:lang w:val="ar"/>
              </w:rPr>
              <w:t>1</w:t>
            </w:r>
            <w:r w:rsidRPr="004A0ACE">
              <w:rPr>
                <w:rFonts w:ascii="Dubai" w:eastAsia="Calibri" w:hAnsi="Dubai" w:cs="Dubai"/>
                <w:b/>
                <w:bCs/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84745" w14:textId="77777777" w:rsidR="008367A1" w:rsidRDefault="008367A1">
      <w:r>
        <w:separator/>
      </w:r>
    </w:p>
  </w:footnote>
  <w:footnote w:type="continuationSeparator" w:id="0">
    <w:p w14:paraId="6C17B78F" w14:textId="77777777" w:rsidR="008367A1" w:rsidRDefault="0083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5D2C" w14:textId="46B04444" w:rsidR="00850D4E" w:rsidRDefault="00850D4E" w:rsidP="008B3B0F">
    <w:pPr>
      <w:pStyle w:val="Header"/>
    </w:pPr>
    <w:r>
      <w:rPr>
        <w:noProof/>
      </w:rPr>
      <w:drawing>
        <wp:inline distT="0" distB="0" distL="0" distR="0" wp14:anchorId="3B08BDFE" wp14:editId="7337BFAA">
          <wp:extent cx="1627773" cy="640135"/>
          <wp:effectExtent l="0" t="0" r="0" b="0"/>
          <wp:docPr id="1453774540" name="Picture 1453774540" descr="شعار أصل بيانات الإعاقة الوطنية، وهو عبارة عن خط ملون منحني متصل بنقاط يرمز إلى ربط الأشخاص والبيان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4540" name="Picture 1453774540" descr="شعار أصل بيانات الإعاقة الوطنية، وهو عبارة عن خط ملون منحني متصل بنقاط يرمز إلى ربط الأشخاص والبيانات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73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7E72"/>
    <w:multiLevelType w:val="hybridMultilevel"/>
    <w:tmpl w:val="B8702470"/>
    <w:lvl w:ilvl="0" w:tplc="E7A8A3A2">
      <w:start w:val="1"/>
      <w:numFmt w:val="decimal"/>
      <w:lvlText w:val="%1."/>
      <w:lvlJc w:val="left"/>
      <w:pPr>
        <w:ind w:left="720" w:hanging="360"/>
      </w:pPr>
    </w:lvl>
    <w:lvl w:ilvl="1" w:tplc="261C533E">
      <w:start w:val="1"/>
      <w:numFmt w:val="lowerLetter"/>
      <w:lvlText w:val="%2."/>
      <w:lvlJc w:val="left"/>
      <w:pPr>
        <w:ind w:left="1440" w:hanging="360"/>
      </w:pPr>
    </w:lvl>
    <w:lvl w:ilvl="2" w:tplc="05086B90">
      <w:start w:val="1"/>
      <w:numFmt w:val="lowerRoman"/>
      <w:lvlText w:val="%3."/>
      <w:lvlJc w:val="right"/>
      <w:pPr>
        <w:ind w:left="2160" w:hanging="180"/>
      </w:pPr>
    </w:lvl>
    <w:lvl w:ilvl="3" w:tplc="E2CC3EEE">
      <w:start w:val="1"/>
      <w:numFmt w:val="decimal"/>
      <w:lvlText w:val="%4."/>
      <w:lvlJc w:val="left"/>
      <w:pPr>
        <w:ind w:left="2880" w:hanging="360"/>
      </w:pPr>
    </w:lvl>
    <w:lvl w:ilvl="4" w:tplc="C12EBB28">
      <w:start w:val="1"/>
      <w:numFmt w:val="lowerLetter"/>
      <w:lvlText w:val="%5."/>
      <w:lvlJc w:val="left"/>
      <w:pPr>
        <w:ind w:left="3600" w:hanging="360"/>
      </w:pPr>
    </w:lvl>
    <w:lvl w:ilvl="5" w:tplc="9D7E5F44">
      <w:start w:val="1"/>
      <w:numFmt w:val="lowerRoman"/>
      <w:lvlText w:val="%6."/>
      <w:lvlJc w:val="right"/>
      <w:pPr>
        <w:ind w:left="4320" w:hanging="180"/>
      </w:pPr>
    </w:lvl>
    <w:lvl w:ilvl="6" w:tplc="1A78E47A">
      <w:start w:val="1"/>
      <w:numFmt w:val="decimal"/>
      <w:lvlText w:val="%7."/>
      <w:lvlJc w:val="left"/>
      <w:pPr>
        <w:ind w:left="5040" w:hanging="360"/>
      </w:pPr>
    </w:lvl>
    <w:lvl w:ilvl="7" w:tplc="ACFE353C">
      <w:start w:val="1"/>
      <w:numFmt w:val="lowerLetter"/>
      <w:lvlText w:val="%8."/>
      <w:lvlJc w:val="left"/>
      <w:pPr>
        <w:ind w:left="5760" w:hanging="360"/>
      </w:pPr>
    </w:lvl>
    <w:lvl w:ilvl="8" w:tplc="A04897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9124C"/>
    <w:multiLevelType w:val="hybridMultilevel"/>
    <w:tmpl w:val="25C431D0"/>
    <w:lvl w:ilvl="0" w:tplc="98E61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E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46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C7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07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A7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A3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2F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87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4613E"/>
    <w:multiLevelType w:val="hybridMultilevel"/>
    <w:tmpl w:val="BED43BA4"/>
    <w:lvl w:ilvl="0" w:tplc="8384D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05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24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43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5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762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E5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07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E9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27"/>
    <w:rsid w:val="00012171"/>
    <w:rsid w:val="0002097C"/>
    <w:rsid w:val="00044B27"/>
    <w:rsid w:val="000862DF"/>
    <w:rsid w:val="00090227"/>
    <w:rsid w:val="000A3E60"/>
    <w:rsid w:val="000F3B3B"/>
    <w:rsid w:val="000F50C9"/>
    <w:rsid w:val="0019199B"/>
    <w:rsid w:val="001A3BEF"/>
    <w:rsid w:val="001B3724"/>
    <w:rsid w:val="001C6608"/>
    <w:rsid w:val="001E3D3B"/>
    <w:rsid w:val="001E4B68"/>
    <w:rsid w:val="002071F9"/>
    <w:rsid w:val="002074F3"/>
    <w:rsid w:val="00230E36"/>
    <w:rsid w:val="00246B84"/>
    <w:rsid w:val="00272FE8"/>
    <w:rsid w:val="002B272C"/>
    <w:rsid w:val="002D4844"/>
    <w:rsid w:val="002D6F8F"/>
    <w:rsid w:val="003068D0"/>
    <w:rsid w:val="00307552"/>
    <w:rsid w:val="00307C11"/>
    <w:rsid w:val="003117E6"/>
    <w:rsid w:val="00361EC0"/>
    <w:rsid w:val="003C73EB"/>
    <w:rsid w:val="003E1400"/>
    <w:rsid w:val="00405AB8"/>
    <w:rsid w:val="00477C06"/>
    <w:rsid w:val="004A05E2"/>
    <w:rsid w:val="004A0ACE"/>
    <w:rsid w:val="004C630E"/>
    <w:rsid w:val="004E6477"/>
    <w:rsid w:val="00505AF9"/>
    <w:rsid w:val="00520B44"/>
    <w:rsid w:val="00524BCA"/>
    <w:rsid w:val="00586461"/>
    <w:rsid w:val="005D3231"/>
    <w:rsid w:val="005F6610"/>
    <w:rsid w:val="00612CBE"/>
    <w:rsid w:val="00616FDC"/>
    <w:rsid w:val="00632C72"/>
    <w:rsid w:val="00636FF8"/>
    <w:rsid w:val="006449C4"/>
    <w:rsid w:val="00663AE3"/>
    <w:rsid w:val="006B60D8"/>
    <w:rsid w:val="006B6572"/>
    <w:rsid w:val="006C139C"/>
    <w:rsid w:val="006E32E9"/>
    <w:rsid w:val="006E5C11"/>
    <w:rsid w:val="007053B2"/>
    <w:rsid w:val="007F3F42"/>
    <w:rsid w:val="007F5FA1"/>
    <w:rsid w:val="00812683"/>
    <w:rsid w:val="00820063"/>
    <w:rsid w:val="00821292"/>
    <w:rsid w:val="008367A1"/>
    <w:rsid w:val="0084410B"/>
    <w:rsid w:val="00844448"/>
    <w:rsid w:val="00850D4E"/>
    <w:rsid w:val="008712A7"/>
    <w:rsid w:val="008B3B0F"/>
    <w:rsid w:val="008C7364"/>
    <w:rsid w:val="009446C6"/>
    <w:rsid w:val="00970472"/>
    <w:rsid w:val="00974979"/>
    <w:rsid w:val="009B7888"/>
    <w:rsid w:val="00A27D3D"/>
    <w:rsid w:val="00AA100E"/>
    <w:rsid w:val="00AA6E59"/>
    <w:rsid w:val="00AD78DC"/>
    <w:rsid w:val="00B13FF7"/>
    <w:rsid w:val="00B50B38"/>
    <w:rsid w:val="00B631F5"/>
    <w:rsid w:val="00B759DC"/>
    <w:rsid w:val="00B76794"/>
    <w:rsid w:val="00BA3001"/>
    <w:rsid w:val="00BD4D90"/>
    <w:rsid w:val="00BE62DB"/>
    <w:rsid w:val="00C12AE9"/>
    <w:rsid w:val="00C17B03"/>
    <w:rsid w:val="00C61645"/>
    <w:rsid w:val="00C83916"/>
    <w:rsid w:val="00CA655F"/>
    <w:rsid w:val="00CE02FF"/>
    <w:rsid w:val="00CE0B0D"/>
    <w:rsid w:val="00D2432E"/>
    <w:rsid w:val="00D515B2"/>
    <w:rsid w:val="00D601C3"/>
    <w:rsid w:val="00D66509"/>
    <w:rsid w:val="00DB0450"/>
    <w:rsid w:val="00DB4F31"/>
    <w:rsid w:val="00DC449A"/>
    <w:rsid w:val="00E02BB7"/>
    <w:rsid w:val="00E12DA9"/>
    <w:rsid w:val="00E54687"/>
    <w:rsid w:val="00E73401"/>
    <w:rsid w:val="00E8019C"/>
    <w:rsid w:val="00E9413D"/>
    <w:rsid w:val="00EC1210"/>
    <w:rsid w:val="00EC630D"/>
    <w:rsid w:val="00ED457B"/>
    <w:rsid w:val="00F12623"/>
    <w:rsid w:val="00F14DCE"/>
    <w:rsid w:val="00F4321A"/>
    <w:rsid w:val="00F458E2"/>
    <w:rsid w:val="00F469D0"/>
    <w:rsid w:val="00F65A3A"/>
    <w:rsid w:val="00F70B22"/>
    <w:rsid w:val="00F95437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C72D9"/>
  <w15:chartTrackingRefBased/>
  <w15:docId w15:val="{B7527AE7-4D54-47A9-AEC2-6959979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B2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B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dda.gov.au/about-ndda/guiding-princi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Data Asset Principles for adding datasets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أصل بيانات الإعاقة الوطنية</dc:title>
  <dc:creator>Australian Government Department of Social Services</dc:creator>
  <cp:lastModifiedBy>Personal PC</cp:lastModifiedBy>
  <cp:revision>16</cp:revision>
  <dcterms:created xsi:type="dcterms:W3CDTF">2025-06-06T02:01:00Z</dcterms:created>
  <dcterms:modified xsi:type="dcterms:W3CDTF">2025-06-16T05:02:00Z</dcterms:modified>
</cp:coreProperties>
</file>