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9089F" w14:textId="77777777" w:rsidR="00044B27" w:rsidRPr="00BE497D" w:rsidRDefault="00E3025F" w:rsidP="00044B27">
      <w:pPr>
        <w:bidi/>
        <w:spacing w:before="240" w:after="240" w:line="276" w:lineRule="auto"/>
        <w:outlineLvl w:val="0"/>
        <w:rPr>
          <w:rFonts w:ascii="Dubai" w:eastAsia="Calibri" w:hAnsi="Dubai" w:cs="Dubai"/>
          <w:b/>
          <w:bCs/>
          <w:color w:val="136613"/>
          <w:kern w:val="2"/>
          <w:sz w:val="28"/>
          <w:szCs w:val="28"/>
          <w14:ligatures w14:val="standardContextual"/>
        </w:rPr>
      </w:pPr>
      <w:r w:rsidRPr="00BE497D">
        <w:rPr>
          <w:rFonts w:ascii="Dubai" w:eastAsia="Calibri" w:hAnsi="Dubai" w:cs="Dubai"/>
          <w:b/>
          <w:bCs/>
          <w:color w:val="136613"/>
          <w:kern w:val="2"/>
          <w:sz w:val="28"/>
          <w:szCs w:val="28"/>
          <w:rtl/>
          <w:lang w:val="ar"/>
          <w14:ligatures w14:val="standardContextual"/>
        </w:rPr>
        <w:t>تحتاج مشاريع أصل بيانات الإعاقة الوطنية إلى مشاركة رؤى يمكن الوصول إليها</w:t>
      </w:r>
    </w:p>
    <w:p w14:paraId="047C7370" w14:textId="77777777" w:rsidR="00044B27" w:rsidRPr="00D82743" w:rsidRDefault="00E3025F" w:rsidP="00044B27">
      <w:pPr>
        <w:bidi/>
        <w:spacing w:after="200" w:line="276" w:lineRule="auto"/>
        <w:rPr>
          <w:rFonts w:ascii="Dubai" w:eastAsia="Calibri" w:hAnsi="Dubai" w:cs="Dubai"/>
          <w:kern w:val="2"/>
          <w14:ligatures w14:val="standardContextual"/>
        </w:rPr>
      </w:pPr>
      <w:r w:rsidRPr="00D82743">
        <w:rPr>
          <w:rFonts w:ascii="Dubai" w:eastAsia="Calibri" w:hAnsi="Dubai" w:cs="Dubai"/>
          <w:kern w:val="2"/>
          <w:rtl/>
          <w:lang w:val="ar"/>
          <w14:ligatures w14:val="standardContextual"/>
        </w:rPr>
        <w:t>يجب أن توفر جميع المشاريع البحثية (المشاريع) التي تستخدم أصل بيانات الإعاقة الوطنية بعض الأفكار للجمهور العام بتنسيقات يسهل الوصول إليها. هذا هو المبدأ 6 من الميثاق الوطني لأصل بيانات الإعاقة الوطنية (الميثاق). يحتوي الميثاق على مبادئ وقواعد لأصل بيانات ال</w:t>
      </w:r>
      <w:r w:rsidRPr="00D82743">
        <w:rPr>
          <w:rFonts w:ascii="Dubai" w:eastAsia="Calibri" w:hAnsi="Dubai" w:cs="Dubai"/>
          <w:kern w:val="2"/>
          <w:rtl/>
          <w:lang w:val="ar"/>
          <w14:ligatures w14:val="standardContextual"/>
        </w:rPr>
        <w:t xml:space="preserve">إعاقة الوطنية. ويمكن الاطلاع على مزيد من المعلومات عن الميثاق على </w:t>
      </w:r>
      <w:hyperlink r:id="rId7" w:history="1">
        <w:r w:rsidRPr="00D82743">
          <w:rPr>
            <w:rFonts w:ascii="Dubai" w:eastAsia="Calibri" w:hAnsi="Dubai" w:cs="Dubai"/>
            <w:color w:val="467886" w:themeColor="hyperlink"/>
            <w:kern w:val="2"/>
            <w:u w:val="single"/>
            <w:rtl/>
            <w:lang w:val="ar"/>
            <w14:ligatures w14:val="standardContextual"/>
          </w:rPr>
          <w:t>صفحة المبادئ التوجيهية</w:t>
        </w:r>
      </w:hyperlink>
      <w:r w:rsidRPr="00D82743">
        <w:rPr>
          <w:rFonts w:ascii="Dubai" w:eastAsia="Calibri" w:hAnsi="Dubai" w:cs="Dubai"/>
          <w:kern w:val="2"/>
          <w:rtl/>
          <w:lang w:val="ar"/>
          <w14:ligatures w14:val="standardContextual"/>
        </w:rPr>
        <w:t xml:space="preserve"> على الموقع الإلكتروني، </w:t>
      </w:r>
      <w:hyperlink r:id="rId8" w:history="1">
        <w:r w:rsidRPr="00D82743">
          <w:rPr>
            <w:rFonts w:ascii="Dubai" w:eastAsia="Calibri" w:hAnsi="Dubai" w:cs="Dubai"/>
            <w:color w:val="467886" w:themeColor="hyperlink"/>
            <w:kern w:val="2"/>
            <w:u w:val="single"/>
            <w:rtl/>
            <w:lang w:val="ar"/>
            <w14:ligatures w14:val="standardContextual"/>
          </w:rPr>
          <w:t>ndda.gov.au</w:t>
        </w:r>
      </w:hyperlink>
      <w:r w:rsidRPr="00D82743">
        <w:rPr>
          <w:rFonts w:ascii="Dubai" w:eastAsia="Calibri" w:hAnsi="Dubai" w:cs="Dubai"/>
          <w:kern w:val="2"/>
          <w:rtl/>
          <w:lang w:val="ar"/>
          <w14:ligatures w14:val="standardContextual"/>
        </w:rPr>
        <w:t xml:space="preserve">. </w:t>
      </w:r>
    </w:p>
    <w:p w14:paraId="35654197" w14:textId="77777777" w:rsidR="00044B27" w:rsidRPr="00350EBA" w:rsidRDefault="00E3025F" w:rsidP="00044B27">
      <w:pPr>
        <w:bidi/>
        <w:spacing w:after="200" w:line="276" w:lineRule="auto"/>
        <w:rPr>
          <w:rFonts w:ascii="Dubai" w:eastAsia="Calibri" w:hAnsi="Dubai" w:cs="Dubai"/>
          <w:kern w:val="2"/>
          <w14:ligatures w14:val="standardContextual"/>
        </w:rPr>
      </w:pPr>
      <w:r w:rsidRPr="00350EBA">
        <w:rPr>
          <w:rFonts w:ascii="Dubai" w:eastAsia="Calibri" w:hAnsi="Dubai" w:cs="Dubai"/>
          <w:kern w:val="2"/>
          <w:rtl/>
          <w:lang w:val="ar"/>
          <w14:ligatures w14:val="standardContextual"/>
        </w:rPr>
        <w:t>يجب أن تشارك جميع م</w:t>
      </w:r>
      <w:r w:rsidRPr="00350EBA">
        <w:rPr>
          <w:rFonts w:ascii="Dubai" w:eastAsia="Calibri" w:hAnsi="Dubai" w:cs="Dubai"/>
          <w:kern w:val="2"/>
          <w:rtl/>
          <w:lang w:val="ar"/>
          <w14:ligatures w14:val="standardContextual"/>
        </w:rPr>
        <w:t>شاريع أصل بيانات الإعاقة الوطنية المعتمدة:</w:t>
      </w:r>
    </w:p>
    <w:p w14:paraId="089216A6" w14:textId="77777777" w:rsidR="00044B27" w:rsidRPr="00350EBA" w:rsidRDefault="00E3025F" w:rsidP="00044B27">
      <w:pPr>
        <w:numPr>
          <w:ilvl w:val="0"/>
          <w:numId w:val="1"/>
        </w:numPr>
        <w:bidi/>
        <w:spacing w:after="200" w:line="276" w:lineRule="auto"/>
        <w:rPr>
          <w:rFonts w:ascii="Dubai" w:eastAsia="Calibri" w:hAnsi="Dubai" w:cs="Dubai"/>
          <w:kern w:val="2"/>
          <w14:ligatures w14:val="standardContextual"/>
        </w:rPr>
      </w:pPr>
      <w:r w:rsidRPr="00350EBA">
        <w:rPr>
          <w:rFonts w:ascii="Dubai" w:eastAsia="Calibri" w:hAnsi="Dubai" w:cs="Dubai"/>
          <w:kern w:val="2"/>
          <w:rtl/>
          <w:lang w:val="ar"/>
          <w14:ligatures w14:val="standardContextual"/>
        </w:rPr>
        <w:t>ملخص بلغة بسيطة من 1 إلى 2 صفحة. وسيشمل ذلك وصفًا للمشروع والنتائج والاستنتاجات الرئيسية.</w:t>
      </w:r>
    </w:p>
    <w:p w14:paraId="677B9B25" w14:textId="77777777" w:rsidR="00044B27" w:rsidRPr="00350EBA" w:rsidRDefault="00E3025F" w:rsidP="00044B27">
      <w:pPr>
        <w:numPr>
          <w:ilvl w:val="0"/>
          <w:numId w:val="1"/>
        </w:numPr>
        <w:bidi/>
        <w:spacing w:after="200" w:line="276" w:lineRule="auto"/>
        <w:rPr>
          <w:rFonts w:ascii="Dubai" w:eastAsia="Calibri" w:hAnsi="Dubai" w:cs="Dubai"/>
          <w:kern w:val="2"/>
          <w14:ligatures w14:val="standardContextual"/>
        </w:rPr>
      </w:pPr>
      <w:r w:rsidRPr="00350EBA">
        <w:rPr>
          <w:rFonts w:ascii="Dubai" w:eastAsia="Calibri" w:hAnsi="Dubai" w:cs="Dubai"/>
          <w:kern w:val="2"/>
          <w:rtl/>
          <w:lang w:val="ar"/>
          <w14:ligatures w14:val="standardContextual"/>
        </w:rPr>
        <w:t>تحتاج المشاريع التي تركز على مجتمع معين إلى ترجمة ملخصها إلى اللغة المستخدمة يومياً في ذلك المجتمع.</w:t>
      </w:r>
    </w:p>
    <w:p w14:paraId="0BFBC72A" w14:textId="77777777" w:rsidR="00044B27" w:rsidRPr="00350EBA" w:rsidRDefault="00E3025F" w:rsidP="00044B27">
      <w:pPr>
        <w:numPr>
          <w:ilvl w:val="0"/>
          <w:numId w:val="1"/>
        </w:numPr>
        <w:bidi/>
        <w:spacing w:after="200" w:line="276" w:lineRule="auto"/>
        <w:rPr>
          <w:rFonts w:ascii="Dubai" w:eastAsia="Calibri" w:hAnsi="Dubai" w:cs="Dubai"/>
          <w:kern w:val="2"/>
          <w14:ligatures w14:val="standardContextual"/>
        </w:rPr>
      </w:pPr>
      <w:r w:rsidRPr="00350EBA">
        <w:rPr>
          <w:rFonts w:ascii="Dubai" w:eastAsia="Calibri" w:hAnsi="Dubai" w:cs="Dubai"/>
          <w:kern w:val="2"/>
          <w:rtl/>
          <w:lang w:val="ar"/>
          <w14:ligatures w14:val="standardContextual"/>
        </w:rPr>
        <w:t xml:space="preserve">من 3 إلى 5 نقاط رئيسية </w:t>
      </w:r>
      <w:r w:rsidRPr="00350EBA">
        <w:rPr>
          <w:rFonts w:ascii="Dubai" w:eastAsia="Calibri" w:hAnsi="Dubai" w:cs="Dubai"/>
          <w:kern w:val="2"/>
          <w:rtl/>
          <w:lang w:val="ar"/>
          <w14:ligatures w14:val="standardContextual"/>
        </w:rPr>
        <w:t>تلخص نتائج المشروع. يجب ترجمة هذه النقاط الرئيسية إلى إصدارات سهلة القراءة Easy Read ولغة الإشارة الأسترالية Auslan. يجب تقديم نسخ بطريقة برايل Braille عند الطلب.</w:t>
      </w:r>
    </w:p>
    <w:p w14:paraId="55145F3D" w14:textId="77777777" w:rsidR="00044B27" w:rsidRPr="00350EBA" w:rsidRDefault="00E3025F" w:rsidP="00044B27">
      <w:pPr>
        <w:numPr>
          <w:ilvl w:val="0"/>
          <w:numId w:val="1"/>
        </w:numPr>
        <w:bidi/>
        <w:spacing w:after="200" w:line="276" w:lineRule="auto"/>
        <w:rPr>
          <w:rFonts w:ascii="Dubai" w:eastAsia="Calibri" w:hAnsi="Dubai" w:cs="Dubai"/>
          <w:kern w:val="2"/>
          <w14:ligatures w14:val="standardContextual"/>
        </w:rPr>
      </w:pPr>
      <w:r w:rsidRPr="00350EBA">
        <w:rPr>
          <w:rFonts w:ascii="Dubai" w:eastAsia="Calibri" w:hAnsi="Dubai" w:cs="Dubai"/>
          <w:kern w:val="2"/>
          <w:rtl/>
          <w:lang w:val="ar"/>
          <w14:ligatures w14:val="standardContextual"/>
        </w:rPr>
        <w:t>تحتاج المشاريع الحكومية أيضًا إلى ترجمة الـ 3-5 نقاط رئيسية إلى أكثر 6 لغات شيوعًا يتم التحدث</w:t>
      </w:r>
      <w:r w:rsidRPr="00350EBA">
        <w:rPr>
          <w:rFonts w:ascii="Dubai" w:eastAsia="Calibri" w:hAnsi="Dubai" w:cs="Dubai"/>
          <w:kern w:val="2"/>
          <w:rtl/>
          <w:lang w:val="ar"/>
          <w14:ligatures w14:val="standardContextual"/>
        </w:rPr>
        <w:t xml:space="preserve"> بها في أستراليا.</w:t>
      </w:r>
    </w:p>
    <w:p w14:paraId="09967DDB" w14:textId="77777777" w:rsidR="00044B27" w:rsidRPr="00D82743" w:rsidRDefault="00E3025F" w:rsidP="00044B27">
      <w:pPr>
        <w:bidi/>
        <w:spacing w:after="200" w:line="276" w:lineRule="auto"/>
        <w:rPr>
          <w:rFonts w:ascii="Dubai" w:eastAsia="Calibri" w:hAnsi="Dubai" w:cs="Dubai"/>
          <w:bCs/>
          <w:kern w:val="2"/>
          <w14:ligatures w14:val="standardContextual"/>
        </w:rPr>
      </w:pPr>
      <w:r w:rsidRPr="00D82743">
        <w:rPr>
          <w:rFonts w:ascii="Dubai" w:eastAsia="Calibri" w:hAnsi="Dubai" w:cs="Dubai"/>
          <w:kern w:val="2"/>
          <w:rtl/>
          <w:lang w:val="ar"/>
          <w14:ligatures w14:val="standardContextual"/>
        </w:rPr>
        <w:t>يجب أن تكون الرؤى التي يمكن الوصول إليها هي الرؤى الأولى التي تتم مشاركتها. يجب أن تكون جميع الرؤى متاحة رقميًا. يجب مشاركة إصدارات اللغة البسيطة وAuslan وEasy Read في نفس الوقت. إذا استمر المشروع أكثر من عامين، فيجب مشاركة الرؤى كل عامين</w:t>
      </w:r>
      <w:r w:rsidRPr="00D82743">
        <w:rPr>
          <w:rFonts w:ascii="Dubai" w:eastAsia="Calibri" w:hAnsi="Dubai" w:cs="Dubai"/>
          <w:kern w:val="2"/>
          <w:rtl/>
          <w:lang w:val="ar"/>
          <w14:ligatures w14:val="standardContextual"/>
        </w:rPr>
        <w:t xml:space="preserve"> على الأقل.</w:t>
      </w:r>
    </w:p>
    <w:p w14:paraId="6D66F41A" w14:textId="77777777" w:rsidR="00044B27" w:rsidRPr="00D82743" w:rsidRDefault="00E3025F" w:rsidP="00044B27">
      <w:pPr>
        <w:bidi/>
        <w:spacing w:after="200" w:line="276" w:lineRule="auto"/>
        <w:rPr>
          <w:rFonts w:ascii="Dubai" w:eastAsia="Calibri" w:hAnsi="Dubai" w:cs="Dubai"/>
          <w:kern w:val="2"/>
          <w14:ligatures w14:val="standardContextual"/>
        </w:rPr>
      </w:pPr>
      <w:r w:rsidRPr="00D82743">
        <w:rPr>
          <w:rFonts w:ascii="Dubai" w:eastAsia="Calibri" w:hAnsi="Dubai" w:cs="Dubai"/>
          <w:kern w:val="2"/>
          <w:rtl/>
          <w:lang w:val="ar"/>
          <w14:ligatures w14:val="standardContextual"/>
        </w:rPr>
        <w:t>يحتاج الباحثون إلى تأكيد حصولهم على تمويل لهذا العمل قبل الموافقة على مشروعهم.</w:t>
      </w:r>
    </w:p>
    <w:p w14:paraId="21AF7678" w14:textId="77777777" w:rsidR="00044B27" w:rsidRPr="00D82743" w:rsidRDefault="00E3025F" w:rsidP="00044B27">
      <w:pPr>
        <w:bidi/>
        <w:spacing w:after="200" w:line="276" w:lineRule="auto"/>
        <w:rPr>
          <w:rFonts w:ascii="Dubai" w:eastAsia="Calibri" w:hAnsi="Dubai" w:cs="Dubai"/>
          <w:kern w:val="2"/>
          <w14:ligatures w14:val="standardContextual"/>
        </w:rPr>
      </w:pPr>
      <w:r w:rsidRPr="00D82743">
        <w:rPr>
          <w:rFonts w:ascii="Dubai" w:eastAsia="Calibri" w:hAnsi="Dubai" w:cs="Dubai"/>
          <w:kern w:val="2"/>
          <w:rtl/>
          <w:lang w:val="ar"/>
          <w14:ligatures w14:val="standardContextual"/>
        </w:rPr>
        <w:t xml:space="preserve">ستوافق إدارة الخدمات الاجتماعية على الإصدارات التي يمكن الوصول إليها قبل مشاركتها. سيتم نشر الرؤى على موقع </w:t>
      </w:r>
      <w:hyperlink r:id="rId9" w:history="1">
        <w:r w:rsidRPr="00D82743">
          <w:rPr>
            <w:rFonts w:ascii="Dubai" w:eastAsia="Calibri" w:hAnsi="Dubai" w:cs="Dubai"/>
            <w:color w:val="467886" w:themeColor="hyperlink"/>
            <w:kern w:val="2"/>
            <w:u w:val="single"/>
            <w:rtl/>
            <w:lang w:val="ar"/>
            <w14:ligatures w14:val="standardContextual"/>
          </w:rPr>
          <w:t>ndda.gov.au</w:t>
        </w:r>
      </w:hyperlink>
      <w:r w:rsidRPr="00D82743">
        <w:rPr>
          <w:rFonts w:ascii="Dubai" w:eastAsia="Calibri" w:hAnsi="Dubai" w:cs="Dubai"/>
          <w:kern w:val="2"/>
          <w:rtl/>
          <w:lang w:val="ar"/>
          <w14:ligatures w14:val="standardContextual"/>
        </w:rPr>
        <w:t xml:space="preserve">. </w:t>
      </w:r>
    </w:p>
    <w:p w14:paraId="63609828" w14:textId="77777777" w:rsidR="00044B27" w:rsidRPr="00D82743" w:rsidRDefault="00E3025F" w:rsidP="00044B27">
      <w:pPr>
        <w:bidi/>
        <w:spacing w:after="200" w:line="276" w:lineRule="auto"/>
        <w:rPr>
          <w:rFonts w:ascii="Dubai" w:eastAsia="Calibri" w:hAnsi="Dubai" w:cs="Dubai"/>
          <w:kern w:val="2"/>
          <w14:ligatures w14:val="standardContextual"/>
        </w:rPr>
      </w:pPr>
      <w:r w:rsidRPr="00D82743">
        <w:rPr>
          <w:rFonts w:ascii="Dubai" w:eastAsia="Calibri" w:hAnsi="Dubai" w:cs="Dubai"/>
          <w:kern w:val="2"/>
          <w:rtl/>
          <w:lang w:val="ar"/>
          <w14:ligatures w14:val="standardContextual"/>
        </w:rPr>
        <w:t>الم</w:t>
      </w:r>
      <w:r w:rsidRPr="00D82743">
        <w:rPr>
          <w:rFonts w:ascii="Dubai" w:eastAsia="Calibri" w:hAnsi="Dubai" w:cs="Dubai"/>
          <w:kern w:val="2"/>
          <w:rtl/>
          <w:lang w:val="ar"/>
          <w14:ligatures w14:val="standardContextual"/>
        </w:rPr>
        <w:t>شاريع التي لا تفي بهذه القواعد تخاطر بتقييد وصولها ومؤسساتها.</w:t>
      </w:r>
    </w:p>
    <w:p w14:paraId="0BBA2A13" w14:textId="77777777" w:rsidR="00505AF9" w:rsidRPr="00D82743" w:rsidRDefault="00505AF9">
      <w:pPr>
        <w:rPr>
          <w:rFonts w:ascii="Dubai" w:hAnsi="Dubai" w:cs="Dubai"/>
        </w:rPr>
      </w:pPr>
    </w:p>
    <w:sectPr w:rsidR="00505AF9" w:rsidRPr="00D82743" w:rsidSect="00850D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D8EB" w14:textId="77777777" w:rsidR="00E3025F" w:rsidRDefault="00E3025F">
      <w:r>
        <w:separator/>
      </w:r>
    </w:p>
  </w:endnote>
  <w:endnote w:type="continuationSeparator" w:id="0">
    <w:p w14:paraId="5AA57B89" w14:textId="77777777" w:rsidR="00E3025F" w:rsidRDefault="00E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5D7C" w14:textId="77777777" w:rsidR="008B717B" w:rsidRDefault="008B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ubai" w:hAnsi="Dubai" w:cs="Dubai"/>
        <w:rtl/>
      </w:rPr>
      <w:id w:val="14273450"/>
      <w:docPartObj>
        <w:docPartGallery w:val="Page Numbers (Bottom of Page)"/>
        <w:docPartUnique/>
      </w:docPartObj>
    </w:sdtPr>
    <w:sdtEndPr/>
    <w:sdtContent>
      <w:sdt>
        <w:sdtPr>
          <w:rPr>
            <w:rFonts w:ascii="Dubai" w:hAnsi="Dubai" w:cs="Dubai"/>
            <w:rtl/>
          </w:rPr>
          <w:id w:val="-1769616900"/>
          <w:docPartObj>
            <w:docPartGallery w:val="Page Numbers (Top of Page)"/>
            <w:docPartUnique/>
          </w:docPartObj>
        </w:sdtPr>
        <w:sdtEndPr/>
        <w:sdtContent>
          <w:p w14:paraId="5F5D34FC" w14:textId="77777777" w:rsidR="00850D4E" w:rsidRPr="00E877DC" w:rsidRDefault="00E3025F" w:rsidP="008B717B">
            <w:pPr>
              <w:pStyle w:val="Footer"/>
              <w:bidi/>
              <w:rPr>
                <w:rFonts w:ascii="Dubai" w:eastAsia="Calibri" w:hAnsi="Dubai" w:cs="Dubai"/>
              </w:rPr>
            </w:pPr>
            <w:r w:rsidRPr="00E877DC">
              <w:rPr>
                <w:rFonts w:ascii="Dubai" w:eastAsia="Calibri" w:hAnsi="Dubai" w:cs="Dubai"/>
                <w:rtl/>
                <w:lang w:val="ar"/>
              </w:rPr>
              <w:t xml:space="preserve">صفحة </w:t>
            </w:r>
            <w:r w:rsidRPr="00E877DC">
              <w:rPr>
                <w:rFonts w:ascii="Dubai" w:eastAsia="Calibri" w:hAnsi="Dubai" w:cs="Dubai"/>
                <w:b/>
                <w:bCs/>
                <w:noProof/>
              </w:rPr>
              <w:fldChar w:fldCharType="begin"/>
            </w:r>
            <w:r w:rsidRPr="00E877DC">
              <w:rPr>
                <w:rFonts w:ascii="Dubai" w:hAnsi="Dubai" w:cs="Dubai"/>
                <w:b/>
                <w:bCs/>
                <w:rtl/>
                <w:lang w:val="ar"/>
              </w:rPr>
              <w:instrText xml:space="preserve"> PAGE </w:instrText>
            </w:r>
            <w:r w:rsidRPr="00E877DC">
              <w:rPr>
                <w:rFonts w:ascii="Dubai" w:eastAsiaTheme="minorHAnsi" w:hAnsi="Dubai" w:cs="Dubai"/>
                <w:b/>
                <w:bCs/>
              </w:rPr>
              <w:fldChar w:fldCharType="separate"/>
            </w:r>
            <w:r w:rsidRPr="00E877DC">
              <w:rPr>
                <w:rFonts w:ascii="Dubai" w:hAnsi="Dubai" w:cs="Dubai"/>
                <w:b/>
                <w:bCs/>
                <w:rtl/>
                <w:lang w:val="ar"/>
              </w:rPr>
              <w:t>1</w:t>
            </w:r>
            <w:r w:rsidRPr="00E877DC">
              <w:rPr>
                <w:rFonts w:ascii="Dubai" w:eastAsia="Calibri" w:hAnsi="Dubai" w:cs="Dubai"/>
                <w:b/>
                <w:bCs/>
                <w:noProof/>
              </w:rPr>
              <w:fldChar w:fldCharType="end"/>
            </w:r>
            <w:r w:rsidRPr="00E877DC">
              <w:rPr>
                <w:rFonts w:ascii="Dubai" w:eastAsia="Calibri" w:hAnsi="Dubai" w:cs="Dubai"/>
                <w:rtl/>
                <w:lang w:val="ar"/>
              </w:rPr>
              <w:t xml:space="preserve"> م</w:t>
            </w:r>
            <w:bookmarkStart w:id="0" w:name="_GoBack"/>
            <w:bookmarkEnd w:id="0"/>
            <w:r w:rsidRPr="00E877DC">
              <w:rPr>
                <w:rFonts w:ascii="Dubai" w:eastAsia="Calibri" w:hAnsi="Dubai" w:cs="Dubai"/>
                <w:rtl/>
                <w:lang w:val="ar"/>
              </w:rPr>
              <w:t xml:space="preserve">ن   </w:t>
            </w:r>
            <w:r w:rsidRPr="00E877DC">
              <w:rPr>
                <w:rFonts w:ascii="Dubai" w:eastAsia="Calibri" w:hAnsi="Dubai" w:cs="Dubai"/>
                <w:b/>
                <w:bCs/>
                <w:noProof/>
              </w:rPr>
              <w:fldChar w:fldCharType="begin"/>
            </w:r>
            <w:r w:rsidRPr="00E877DC">
              <w:rPr>
                <w:rFonts w:ascii="Dubai" w:hAnsi="Dubai" w:cs="Dubai"/>
                <w:b/>
                <w:bCs/>
                <w:rtl/>
                <w:lang w:val="ar"/>
              </w:rPr>
              <w:instrText xml:space="preserve"> NUMPAGES  </w:instrText>
            </w:r>
            <w:r w:rsidRPr="00E877DC">
              <w:rPr>
                <w:rFonts w:ascii="Dubai" w:eastAsiaTheme="minorHAnsi" w:hAnsi="Dubai" w:cs="Dubai"/>
                <w:b/>
                <w:bCs/>
              </w:rPr>
              <w:fldChar w:fldCharType="separate"/>
            </w:r>
            <w:r w:rsidRPr="00E877DC">
              <w:rPr>
                <w:rFonts w:ascii="Dubai" w:hAnsi="Dubai" w:cs="Dubai"/>
                <w:b/>
                <w:bCs/>
                <w:rtl/>
                <w:lang w:val="ar"/>
              </w:rPr>
              <w:t>1</w:t>
            </w:r>
            <w:r w:rsidRPr="00E877DC">
              <w:rPr>
                <w:rFonts w:ascii="Dubai" w:eastAsia="Calibri" w:hAnsi="Dubai" w:cs="Dubai"/>
                <w:b/>
                <w:bCs/>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28F1" w14:textId="77777777" w:rsidR="008B717B" w:rsidRDefault="008B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76176" w14:textId="77777777" w:rsidR="00E3025F" w:rsidRDefault="00E3025F">
      <w:r>
        <w:separator/>
      </w:r>
    </w:p>
  </w:footnote>
  <w:footnote w:type="continuationSeparator" w:id="0">
    <w:p w14:paraId="0C03DBC3" w14:textId="77777777" w:rsidR="00E3025F" w:rsidRDefault="00E3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8184" w14:textId="77777777" w:rsidR="008B717B" w:rsidRDefault="008B7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E70B" w14:textId="6DEEF862" w:rsidR="00850D4E" w:rsidRDefault="004576AA" w:rsidP="00957D8F">
    <w:pPr>
      <w:pStyle w:val="Header"/>
      <w:tabs>
        <w:tab w:val="left" w:pos="4470"/>
      </w:tabs>
    </w:pPr>
    <w:r>
      <w:rPr>
        <w:noProof/>
      </w:rPr>
      <w:drawing>
        <wp:inline distT="0" distB="0" distL="0" distR="0" wp14:anchorId="03BBB500" wp14:editId="531B7BF8">
          <wp:extent cx="1627773" cy="640135"/>
          <wp:effectExtent l="0" t="0" r="0" b="0"/>
          <wp:docPr id="1453774540" name="Picture 1453774540" descr="شعار أصل بيانات الإعاقة الوطنية، وهو عبارة عن خط ملون منحني متصل بنقاط يرمز إلى ربط الأشخاص والبيان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74540" name="Picture 1453774540" descr="شعار أصل بيانات الإعاقة الوطنية، وهو عبارة عن خط ملون منحني متصل بنقاط يرمز إلى ربط الأشخاص والبيانات"/>
                  <pic:cNvPicPr/>
                </pic:nvPicPr>
                <pic:blipFill>
                  <a:blip r:embed="rId1">
                    <a:extLst>
                      <a:ext uri="{28A0092B-C50C-407E-A947-70E740481C1C}">
                        <a14:useLocalDpi xmlns:a14="http://schemas.microsoft.com/office/drawing/2010/main" val="0"/>
                      </a:ext>
                    </a:extLst>
                  </a:blip>
                  <a:stretch>
                    <a:fillRect/>
                  </a:stretch>
                </pic:blipFill>
                <pic:spPr>
                  <a:xfrm>
                    <a:off x="0" y="0"/>
                    <a:ext cx="1627773" cy="640135"/>
                  </a:xfrm>
                  <a:prstGeom prst="rect">
                    <a:avLst/>
                  </a:prstGeom>
                </pic:spPr>
              </pic:pic>
            </a:graphicData>
          </a:graphic>
        </wp:inline>
      </w:drawing>
    </w:r>
    <w:r w:rsidR="00957D8F">
      <w:tab/>
    </w:r>
    <w:r w:rsidR="00957D8F">
      <w:tab/>
    </w:r>
    <w:r w:rsidR="00957D8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A287" w14:textId="77777777" w:rsidR="008B717B" w:rsidRDefault="008B7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124C"/>
    <w:multiLevelType w:val="hybridMultilevel"/>
    <w:tmpl w:val="25C431D0"/>
    <w:lvl w:ilvl="0" w:tplc="ACF82A8C">
      <w:start w:val="1"/>
      <w:numFmt w:val="bullet"/>
      <w:lvlText w:val=""/>
      <w:lvlJc w:val="left"/>
      <w:pPr>
        <w:ind w:left="720" w:hanging="360"/>
      </w:pPr>
      <w:rPr>
        <w:rFonts w:ascii="Symbol" w:hAnsi="Symbol" w:hint="default"/>
      </w:rPr>
    </w:lvl>
    <w:lvl w:ilvl="1" w:tplc="993C356A">
      <w:start w:val="1"/>
      <w:numFmt w:val="bullet"/>
      <w:lvlText w:val="o"/>
      <w:lvlJc w:val="left"/>
      <w:pPr>
        <w:ind w:left="1440" w:hanging="360"/>
      </w:pPr>
      <w:rPr>
        <w:rFonts w:ascii="Courier New" w:hAnsi="Courier New" w:cs="Courier New" w:hint="default"/>
      </w:rPr>
    </w:lvl>
    <w:lvl w:ilvl="2" w:tplc="B17EC970">
      <w:start w:val="1"/>
      <w:numFmt w:val="bullet"/>
      <w:lvlText w:val=""/>
      <w:lvlJc w:val="left"/>
      <w:pPr>
        <w:ind w:left="2160" w:hanging="360"/>
      </w:pPr>
      <w:rPr>
        <w:rFonts w:ascii="Wingdings" w:hAnsi="Wingdings" w:hint="default"/>
      </w:rPr>
    </w:lvl>
    <w:lvl w:ilvl="3" w:tplc="50D67410">
      <w:start w:val="1"/>
      <w:numFmt w:val="bullet"/>
      <w:lvlText w:val=""/>
      <w:lvlJc w:val="left"/>
      <w:pPr>
        <w:ind w:left="2880" w:hanging="360"/>
      </w:pPr>
      <w:rPr>
        <w:rFonts w:ascii="Symbol" w:hAnsi="Symbol" w:hint="default"/>
      </w:rPr>
    </w:lvl>
    <w:lvl w:ilvl="4" w:tplc="2680468C">
      <w:start w:val="1"/>
      <w:numFmt w:val="bullet"/>
      <w:lvlText w:val="o"/>
      <w:lvlJc w:val="left"/>
      <w:pPr>
        <w:ind w:left="3600" w:hanging="360"/>
      </w:pPr>
      <w:rPr>
        <w:rFonts w:ascii="Courier New" w:hAnsi="Courier New" w:cs="Courier New" w:hint="default"/>
      </w:rPr>
    </w:lvl>
    <w:lvl w:ilvl="5" w:tplc="EB42E6CE">
      <w:start w:val="1"/>
      <w:numFmt w:val="bullet"/>
      <w:lvlText w:val=""/>
      <w:lvlJc w:val="left"/>
      <w:pPr>
        <w:ind w:left="4320" w:hanging="360"/>
      </w:pPr>
      <w:rPr>
        <w:rFonts w:ascii="Wingdings" w:hAnsi="Wingdings" w:hint="default"/>
      </w:rPr>
    </w:lvl>
    <w:lvl w:ilvl="6" w:tplc="254AFD64">
      <w:start w:val="1"/>
      <w:numFmt w:val="bullet"/>
      <w:lvlText w:val=""/>
      <w:lvlJc w:val="left"/>
      <w:pPr>
        <w:ind w:left="5040" w:hanging="360"/>
      </w:pPr>
      <w:rPr>
        <w:rFonts w:ascii="Symbol" w:hAnsi="Symbol" w:hint="default"/>
      </w:rPr>
    </w:lvl>
    <w:lvl w:ilvl="7" w:tplc="77DCBDD6">
      <w:start w:val="1"/>
      <w:numFmt w:val="bullet"/>
      <w:lvlText w:val="o"/>
      <w:lvlJc w:val="left"/>
      <w:pPr>
        <w:ind w:left="5760" w:hanging="360"/>
      </w:pPr>
      <w:rPr>
        <w:rFonts w:ascii="Courier New" w:hAnsi="Courier New" w:cs="Courier New" w:hint="default"/>
      </w:rPr>
    </w:lvl>
    <w:lvl w:ilvl="8" w:tplc="3078B6E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7"/>
    <w:rsid w:val="00012171"/>
    <w:rsid w:val="00044B27"/>
    <w:rsid w:val="00052DD0"/>
    <w:rsid w:val="000862DF"/>
    <w:rsid w:val="00090227"/>
    <w:rsid w:val="000A3E60"/>
    <w:rsid w:val="000C7553"/>
    <w:rsid w:val="000D38E0"/>
    <w:rsid w:val="00157E73"/>
    <w:rsid w:val="001813CC"/>
    <w:rsid w:val="0019199B"/>
    <w:rsid w:val="001A3BEF"/>
    <w:rsid w:val="001B3724"/>
    <w:rsid w:val="001C6608"/>
    <w:rsid w:val="001E3D3B"/>
    <w:rsid w:val="001E4B68"/>
    <w:rsid w:val="001F7334"/>
    <w:rsid w:val="002071F9"/>
    <w:rsid w:val="002074F3"/>
    <w:rsid w:val="00230E36"/>
    <w:rsid w:val="00246B84"/>
    <w:rsid w:val="00251A35"/>
    <w:rsid w:val="00272FE8"/>
    <w:rsid w:val="002B272C"/>
    <w:rsid w:val="00307552"/>
    <w:rsid w:val="00350EBA"/>
    <w:rsid w:val="003C73EB"/>
    <w:rsid w:val="003D0563"/>
    <w:rsid w:val="003E1400"/>
    <w:rsid w:val="003E236B"/>
    <w:rsid w:val="003F4850"/>
    <w:rsid w:val="00405AB8"/>
    <w:rsid w:val="004263FA"/>
    <w:rsid w:val="004576AA"/>
    <w:rsid w:val="00477C06"/>
    <w:rsid w:val="004A05E2"/>
    <w:rsid w:val="004C3EF0"/>
    <w:rsid w:val="004C630E"/>
    <w:rsid w:val="004E6477"/>
    <w:rsid w:val="00505AF9"/>
    <w:rsid w:val="00520B44"/>
    <w:rsid w:val="00524BCA"/>
    <w:rsid w:val="0056606E"/>
    <w:rsid w:val="00586461"/>
    <w:rsid w:val="00592F45"/>
    <w:rsid w:val="005D3231"/>
    <w:rsid w:val="005F6610"/>
    <w:rsid w:val="00616FDC"/>
    <w:rsid w:val="00632C72"/>
    <w:rsid w:val="00636FF8"/>
    <w:rsid w:val="006449C4"/>
    <w:rsid w:val="00663AE3"/>
    <w:rsid w:val="00695FE5"/>
    <w:rsid w:val="006B60D8"/>
    <w:rsid w:val="006B6572"/>
    <w:rsid w:val="006E32E9"/>
    <w:rsid w:val="006E5C11"/>
    <w:rsid w:val="007053B2"/>
    <w:rsid w:val="00716471"/>
    <w:rsid w:val="007F3F42"/>
    <w:rsid w:val="00812683"/>
    <w:rsid w:val="00820063"/>
    <w:rsid w:val="0083037A"/>
    <w:rsid w:val="0084410B"/>
    <w:rsid w:val="00844448"/>
    <w:rsid w:val="00850D4E"/>
    <w:rsid w:val="008712A7"/>
    <w:rsid w:val="00877697"/>
    <w:rsid w:val="008B717B"/>
    <w:rsid w:val="008C7364"/>
    <w:rsid w:val="00957D8F"/>
    <w:rsid w:val="00970472"/>
    <w:rsid w:val="00974979"/>
    <w:rsid w:val="009B7888"/>
    <w:rsid w:val="00A15B1F"/>
    <w:rsid w:val="00A27D3D"/>
    <w:rsid w:val="00A417CC"/>
    <w:rsid w:val="00AA100E"/>
    <w:rsid w:val="00AA71EF"/>
    <w:rsid w:val="00AD78DC"/>
    <w:rsid w:val="00AE48A3"/>
    <w:rsid w:val="00AF74E1"/>
    <w:rsid w:val="00B045DB"/>
    <w:rsid w:val="00B13FF7"/>
    <w:rsid w:val="00B50B38"/>
    <w:rsid w:val="00B631F5"/>
    <w:rsid w:val="00B759DC"/>
    <w:rsid w:val="00BA3001"/>
    <w:rsid w:val="00BC53D8"/>
    <w:rsid w:val="00BD4D90"/>
    <w:rsid w:val="00BE497D"/>
    <w:rsid w:val="00BE62DB"/>
    <w:rsid w:val="00BF69C6"/>
    <w:rsid w:val="00C12AE9"/>
    <w:rsid w:val="00C17B03"/>
    <w:rsid w:val="00C61645"/>
    <w:rsid w:val="00C765C0"/>
    <w:rsid w:val="00C83916"/>
    <w:rsid w:val="00CA655F"/>
    <w:rsid w:val="00CE02FF"/>
    <w:rsid w:val="00D01B57"/>
    <w:rsid w:val="00D0682E"/>
    <w:rsid w:val="00D2432E"/>
    <w:rsid w:val="00D36B4D"/>
    <w:rsid w:val="00D515B2"/>
    <w:rsid w:val="00D601C3"/>
    <w:rsid w:val="00D66509"/>
    <w:rsid w:val="00D82743"/>
    <w:rsid w:val="00DA4DD5"/>
    <w:rsid w:val="00DB0450"/>
    <w:rsid w:val="00DC449A"/>
    <w:rsid w:val="00DF3D1E"/>
    <w:rsid w:val="00E12DA9"/>
    <w:rsid w:val="00E3025F"/>
    <w:rsid w:val="00E52E60"/>
    <w:rsid w:val="00E54687"/>
    <w:rsid w:val="00E73401"/>
    <w:rsid w:val="00E8019C"/>
    <w:rsid w:val="00E877DC"/>
    <w:rsid w:val="00E9413D"/>
    <w:rsid w:val="00EC1210"/>
    <w:rsid w:val="00ED457B"/>
    <w:rsid w:val="00F12623"/>
    <w:rsid w:val="00F14DCE"/>
    <w:rsid w:val="00F4321A"/>
    <w:rsid w:val="00F458E2"/>
    <w:rsid w:val="00F469D0"/>
    <w:rsid w:val="00F56747"/>
    <w:rsid w:val="00F70B22"/>
    <w:rsid w:val="00F95437"/>
    <w:rsid w:val="00FD4AB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05133"/>
  <w15:chartTrackingRefBased/>
  <w15:docId w15:val="{B7527AE7-4D54-47A9-AEC2-6959979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27"/>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04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B27"/>
    <w:rPr>
      <w:rFonts w:eastAsiaTheme="majorEastAsia" w:cstheme="majorBidi"/>
      <w:color w:val="272727" w:themeColor="text1" w:themeTint="D8"/>
    </w:rPr>
  </w:style>
  <w:style w:type="paragraph" w:styleId="Title">
    <w:name w:val="Title"/>
    <w:basedOn w:val="Normal"/>
    <w:next w:val="Normal"/>
    <w:link w:val="TitleChar"/>
    <w:uiPriority w:val="10"/>
    <w:qFormat/>
    <w:rsid w:val="00044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B27"/>
    <w:pPr>
      <w:spacing w:before="160"/>
      <w:jc w:val="center"/>
    </w:pPr>
    <w:rPr>
      <w:i/>
      <w:iCs/>
      <w:color w:val="404040" w:themeColor="text1" w:themeTint="BF"/>
    </w:rPr>
  </w:style>
  <w:style w:type="character" w:customStyle="1" w:styleId="QuoteChar">
    <w:name w:val="Quote Char"/>
    <w:basedOn w:val="DefaultParagraphFont"/>
    <w:link w:val="Quote"/>
    <w:uiPriority w:val="29"/>
    <w:rsid w:val="00044B27"/>
    <w:rPr>
      <w:i/>
      <w:iCs/>
      <w:color w:val="404040" w:themeColor="text1" w:themeTint="BF"/>
    </w:rPr>
  </w:style>
  <w:style w:type="paragraph" w:styleId="ListParagraph">
    <w:name w:val="List Paragraph"/>
    <w:basedOn w:val="Normal"/>
    <w:uiPriority w:val="34"/>
    <w:qFormat/>
    <w:rsid w:val="00044B27"/>
    <w:pPr>
      <w:ind w:left="720"/>
      <w:contextualSpacing/>
    </w:pPr>
  </w:style>
  <w:style w:type="character" w:styleId="IntenseEmphasis">
    <w:name w:val="Intense Emphasis"/>
    <w:basedOn w:val="DefaultParagraphFont"/>
    <w:uiPriority w:val="21"/>
    <w:qFormat/>
    <w:rsid w:val="00044B27"/>
    <w:rPr>
      <w:i/>
      <w:iCs/>
      <w:color w:val="0F4761" w:themeColor="accent1" w:themeShade="BF"/>
    </w:rPr>
  </w:style>
  <w:style w:type="paragraph" w:styleId="IntenseQuote">
    <w:name w:val="Intense Quote"/>
    <w:basedOn w:val="Normal"/>
    <w:next w:val="Normal"/>
    <w:link w:val="IntenseQuoteChar"/>
    <w:uiPriority w:val="30"/>
    <w:qFormat/>
    <w:rsid w:val="0004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B27"/>
    <w:rPr>
      <w:i/>
      <w:iCs/>
      <w:color w:val="0F4761" w:themeColor="accent1" w:themeShade="BF"/>
    </w:rPr>
  </w:style>
  <w:style w:type="character" w:styleId="IntenseReference">
    <w:name w:val="Intense Reference"/>
    <w:basedOn w:val="DefaultParagraphFont"/>
    <w:uiPriority w:val="32"/>
    <w:qFormat/>
    <w:rsid w:val="00044B27"/>
    <w:rPr>
      <w:b/>
      <w:bCs/>
      <w:smallCaps/>
      <w:color w:val="0F4761" w:themeColor="accent1" w:themeShade="BF"/>
      <w:spacing w:val="5"/>
    </w:rPr>
  </w:style>
  <w:style w:type="paragraph" w:styleId="Header">
    <w:name w:val="header"/>
    <w:basedOn w:val="Normal"/>
    <w:link w:val="HeaderChar"/>
    <w:uiPriority w:val="99"/>
    <w:unhideWhenUsed/>
    <w:rsid w:val="00850D4E"/>
    <w:pPr>
      <w:tabs>
        <w:tab w:val="center" w:pos="4513"/>
        <w:tab w:val="right" w:pos="9026"/>
      </w:tabs>
    </w:pPr>
  </w:style>
  <w:style w:type="character" w:customStyle="1" w:styleId="HeaderChar">
    <w:name w:val="Header Char"/>
    <w:basedOn w:val="DefaultParagraphFont"/>
    <w:link w:val="Header"/>
    <w:uiPriority w:val="99"/>
    <w:rsid w:val="00850D4E"/>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850D4E"/>
    <w:pPr>
      <w:tabs>
        <w:tab w:val="center" w:pos="4513"/>
        <w:tab w:val="right" w:pos="9026"/>
      </w:tabs>
    </w:pPr>
  </w:style>
  <w:style w:type="character" w:customStyle="1" w:styleId="FooterChar">
    <w:name w:val="Footer Char"/>
    <w:basedOn w:val="DefaultParagraphFont"/>
    <w:link w:val="Footer"/>
    <w:uiPriority w:val="99"/>
    <w:rsid w:val="00850D4E"/>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d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dda.gov.au/about-ndda/guiding-principl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dda.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National Disability Data Asset projects need to share accessible insights</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تحتاج مشاريع أصل بيانات الإعاقة الوطنية إلى مشاركة رؤى يمكن الوصول إليها</dc:title>
  <dc:creator>Australian Government Department of Social Services</dc:creator>
  <cp:lastModifiedBy>Personal PC</cp:lastModifiedBy>
  <cp:revision>15</cp:revision>
  <dcterms:created xsi:type="dcterms:W3CDTF">2025-06-06T01:56:00Z</dcterms:created>
  <dcterms:modified xsi:type="dcterms:W3CDTF">2025-06-16T03:40:00Z</dcterms:modified>
</cp:coreProperties>
</file>